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D542" w14:textId="4FB5A883" w:rsidR="000A0161" w:rsidRDefault="000A0161" w:rsidP="00403366">
      <w:pPr>
        <w:spacing w:line="240" w:lineRule="auto"/>
        <w:jc w:val="center"/>
      </w:pPr>
      <w:r>
        <w:t>Diving for Pearls:  Myth in an Age of Technology</w:t>
      </w:r>
    </w:p>
    <w:p w14:paraId="7730BD11" w14:textId="53D7CAA8" w:rsidR="0077622C" w:rsidRDefault="0077622C" w:rsidP="00403366">
      <w:pPr>
        <w:spacing w:line="240" w:lineRule="auto"/>
        <w:jc w:val="center"/>
      </w:pPr>
      <w:r>
        <w:t>Lisa L. Stenmark</w:t>
      </w:r>
    </w:p>
    <w:p w14:paraId="23D23F6C" w14:textId="4456B45B" w:rsidR="0077622C" w:rsidRDefault="00533728" w:rsidP="00403366">
      <w:pPr>
        <w:spacing w:line="240" w:lineRule="auto"/>
        <w:jc w:val="center"/>
      </w:pPr>
      <w:r>
        <w:t>Presented</w:t>
      </w:r>
      <w:r w:rsidR="0077622C">
        <w:t xml:space="preserve"> to the Pacifica Coast Theological Society</w:t>
      </w:r>
      <w:r w:rsidR="00403366">
        <w:t>, April 14, 2012</w:t>
      </w:r>
    </w:p>
    <w:p w14:paraId="424A6097" w14:textId="77777777" w:rsidR="000A0161" w:rsidRDefault="000A0161" w:rsidP="000A0161">
      <w:pPr>
        <w:jc w:val="center"/>
      </w:pPr>
    </w:p>
    <w:p w14:paraId="6027E850" w14:textId="133E1570" w:rsidR="00202561" w:rsidRDefault="00BA3931" w:rsidP="007F3E91">
      <w:pPr>
        <w:pStyle w:val="Body"/>
      </w:pPr>
      <w:r>
        <w:t>On October 4, 1957</w:t>
      </w:r>
      <w:r w:rsidR="00460F86">
        <w:t>,</w:t>
      </w:r>
      <w:r>
        <w:t xml:space="preserve"> the Soviets launched the first satellite, Sputnik, into orbit, </w:t>
      </w:r>
      <w:r w:rsidR="002E7B75">
        <w:t xml:space="preserve">an event which signaled </w:t>
      </w:r>
      <w:r w:rsidR="000A62E2">
        <w:t>the dawn of space exploration</w:t>
      </w:r>
      <w:r w:rsidR="002E7B75">
        <w:t xml:space="preserve"> and led </w:t>
      </w:r>
      <w:r w:rsidR="005A424E">
        <w:t xml:space="preserve">one reporter to express relief that we had taken </w:t>
      </w:r>
      <w:r w:rsidR="004E3F88">
        <w:t xml:space="preserve">this </w:t>
      </w:r>
      <w:r w:rsidR="00395BA5">
        <w:t>first step towards escape from our “imprisonment to the earth.’”</w:t>
      </w:r>
      <w:r w:rsidR="00395BA5">
        <w:rPr>
          <w:rStyle w:val="FootnoteReference"/>
        </w:rPr>
        <w:footnoteReference w:id="1"/>
      </w:r>
      <w:r w:rsidR="008E129F">
        <w:t xml:space="preserve"> </w:t>
      </w:r>
      <w:r>
        <w:t xml:space="preserve">In the Prologue to </w:t>
      </w:r>
      <w:r w:rsidRPr="001E5952">
        <w:rPr>
          <w:i/>
        </w:rPr>
        <w:t>the Human Condition</w:t>
      </w:r>
      <w:r>
        <w:t xml:space="preserve">, Hannah </w:t>
      </w:r>
      <w:r w:rsidRPr="00E36389">
        <w:t>Arendt</w:t>
      </w:r>
      <w:r>
        <w:t xml:space="preserve"> reflects on this and other scientific and technological developments, </w:t>
      </w:r>
      <w:r w:rsidR="00460F86">
        <w:t>recognizing</w:t>
      </w:r>
      <w:r>
        <w:t xml:space="preserve"> this </w:t>
      </w:r>
      <w:r w:rsidR="00BF713D">
        <w:t xml:space="preserve">same desire to </w:t>
      </w:r>
      <w:r w:rsidR="00290D87">
        <w:t>escape</w:t>
      </w:r>
      <w:r w:rsidR="00BF713D">
        <w:t xml:space="preserve"> </w:t>
      </w:r>
      <w:r w:rsidR="002E7B75">
        <w:t>a</w:t>
      </w:r>
      <w:r w:rsidR="00BF713D">
        <w:t xml:space="preserve"> </w:t>
      </w:r>
      <w:r w:rsidR="002E7B75">
        <w:t>“</w:t>
      </w:r>
      <w:r w:rsidR="00BF713D">
        <w:t>prison</w:t>
      </w:r>
      <w:r w:rsidR="002E7B75">
        <w:t>”</w:t>
      </w:r>
      <w:r w:rsidR="00BF713D">
        <w:t xml:space="preserve"> in </w:t>
      </w:r>
      <w:r w:rsidR="000A62E2">
        <w:t>the new b</w:t>
      </w:r>
      <w:r w:rsidR="008E129F">
        <w:t>iological and genetic sciences</w:t>
      </w:r>
      <w:r>
        <w:t xml:space="preserve"> </w:t>
      </w:r>
      <w:r w:rsidR="00EB63F5">
        <w:t xml:space="preserve">and the attempt </w:t>
      </w:r>
      <w:r w:rsidR="000A62E2">
        <w:t xml:space="preserve">to </w:t>
      </w:r>
      <w:r w:rsidR="00BF713D">
        <w:t xml:space="preserve">create </w:t>
      </w:r>
      <w:r w:rsidR="00B14D63">
        <w:t>life</w:t>
      </w:r>
      <w:r>
        <w:t xml:space="preserve"> in a test tube</w:t>
      </w:r>
      <w:r w:rsidR="00B14D63">
        <w:t xml:space="preserve">, </w:t>
      </w:r>
      <w:r w:rsidR="00290D87">
        <w:t xml:space="preserve">extend </w:t>
      </w:r>
      <w:r>
        <w:t xml:space="preserve">the human </w:t>
      </w:r>
      <w:r w:rsidR="00290D87">
        <w:t xml:space="preserve">life span and </w:t>
      </w:r>
      <w:r w:rsidR="00B14D63">
        <w:t xml:space="preserve">even </w:t>
      </w:r>
      <w:r w:rsidR="00290D87">
        <w:t xml:space="preserve">alter the size, shape </w:t>
      </w:r>
      <w:r w:rsidR="005B55B6">
        <w:t xml:space="preserve">and function of </w:t>
      </w:r>
      <w:r w:rsidR="00646F81">
        <w:t xml:space="preserve">the </w:t>
      </w:r>
      <w:r w:rsidR="005B55B6">
        <w:t xml:space="preserve">human </w:t>
      </w:r>
      <w:r w:rsidR="00646F81">
        <w:t>body</w:t>
      </w:r>
      <w:r w:rsidR="005B55B6">
        <w:t xml:space="preserve">.  </w:t>
      </w:r>
      <w:r w:rsidR="000A62E2">
        <w:t xml:space="preserve">What these </w:t>
      </w:r>
      <w:r w:rsidR="009A24D3">
        <w:t xml:space="preserve">scientific and technological endeavors represent is not merely the desire to </w:t>
      </w:r>
      <w:r w:rsidR="00AE0E7C">
        <w:t xml:space="preserve">escape from the constraints of </w:t>
      </w:r>
      <w:r w:rsidR="008E129F">
        <w:t xml:space="preserve">the human condition, they represent “a rebellion against human existence as it has been given” </w:t>
      </w:r>
      <w:r>
        <w:t xml:space="preserve">and the attempt to exchange this “free gift” </w:t>
      </w:r>
      <w:r w:rsidR="008E129F">
        <w:t xml:space="preserve">for something </w:t>
      </w:r>
      <w:r w:rsidR="002B7427">
        <w:t xml:space="preserve">that </w:t>
      </w:r>
      <w:r w:rsidR="0021206E">
        <w:t xml:space="preserve">we have made </w:t>
      </w:r>
      <w:r w:rsidR="00D67E24">
        <w:t>ourselves</w:t>
      </w:r>
      <w:r w:rsidR="00202561">
        <w:t>,  “cutting the last tie through which</w:t>
      </w:r>
      <w:r w:rsidR="00AE0E7C">
        <w:t xml:space="preserve">” human beings </w:t>
      </w:r>
      <w:r w:rsidR="00202561">
        <w:t>b</w:t>
      </w:r>
      <w:r w:rsidR="00AE0E7C">
        <w:t>elong “</w:t>
      </w:r>
      <w:r w:rsidR="00202561">
        <w:t>am</w:t>
      </w:r>
      <w:r w:rsidR="00E93201">
        <w:t>ong the children of nature.”</w:t>
      </w:r>
      <w:r w:rsidR="00E93201">
        <w:rPr>
          <w:rStyle w:val="FootnoteReference"/>
        </w:rPr>
        <w:footnoteReference w:id="2"/>
      </w:r>
    </w:p>
    <w:p w14:paraId="3F35319B" w14:textId="091A020A" w:rsidR="000E35F1" w:rsidRDefault="006A4CC5" w:rsidP="006F5790">
      <w:pPr>
        <w:pStyle w:val="Body"/>
      </w:pPr>
      <w:r>
        <w:t xml:space="preserve">This impulse </w:t>
      </w:r>
      <w:r w:rsidR="00586CAF">
        <w:t>is not new</w:t>
      </w:r>
      <w:r w:rsidR="00BA3931">
        <w:t xml:space="preserve"> and, as Arendt suggests, it has many forms. </w:t>
      </w:r>
      <w:r w:rsidR="00A52A41">
        <w:t>Some</w:t>
      </w:r>
      <w:r w:rsidR="00803562">
        <w:t>times</w:t>
      </w:r>
      <w:r w:rsidR="00D630BA">
        <w:t xml:space="preserve"> it is </w:t>
      </w:r>
      <w:r w:rsidR="00A52A41">
        <w:t xml:space="preserve">directed outward, </w:t>
      </w:r>
      <w:r w:rsidR="00BD0943">
        <w:t xml:space="preserve">as a refusal to be content with the world we find ourselves in, and we are motivated to </w:t>
      </w:r>
      <w:r w:rsidR="00A52A41">
        <w:t xml:space="preserve">change it, or to leave what is familiar </w:t>
      </w:r>
      <w:r w:rsidR="00BD0943">
        <w:t>to</w:t>
      </w:r>
      <w:r w:rsidR="00A52A41">
        <w:t xml:space="preserve"> see </w:t>
      </w:r>
      <w:r w:rsidR="00BD0943">
        <w:t xml:space="preserve">if we can make a better life for ourselves </w:t>
      </w:r>
      <w:r w:rsidR="006D1146">
        <w:t xml:space="preserve">on the other side of the hill, just beyond the horizon, or out among </w:t>
      </w:r>
      <w:r w:rsidR="00A52A41">
        <w:t>the stars.</w:t>
      </w:r>
      <w:r w:rsidR="00940F45">
        <w:rPr>
          <w:rStyle w:val="FootnoteReference"/>
        </w:rPr>
        <w:footnoteReference w:id="3"/>
      </w:r>
      <w:r w:rsidR="00803562">
        <w:t xml:space="preserve">  At other times it is turned inward, in the struggle to exceed the mental and physical constraints of </w:t>
      </w:r>
      <w:proofErr w:type="gramStart"/>
      <w:r w:rsidR="00803562">
        <w:t>our</w:t>
      </w:r>
      <w:proofErr w:type="gramEnd"/>
      <w:r w:rsidR="00803562">
        <w:t xml:space="preserve"> bodies, </w:t>
      </w:r>
      <w:r w:rsidR="00586CAF">
        <w:t xml:space="preserve">to </w:t>
      </w:r>
      <w:r w:rsidR="00BF37DB">
        <w:t xml:space="preserve">know and </w:t>
      </w:r>
      <w:r w:rsidR="00586CAF">
        <w:t xml:space="preserve">understand </w:t>
      </w:r>
      <w:r w:rsidR="00BF37DB">
        <w:t>more</w:t>
      </w:r>
      <w:r w:rsidR="00586CAF">
        <w:t xml:space="preserve">, to run faster and </w:t>
      </w:r>
      <w:r w:rsidR="00D630BA">
        <w:t xml:space="preserve">jump higher, and </w:t>
      </w:r>
      <w:r w:rsidR="00586CAF">
        <w:t xml:space="preserve">even </w:t>
      </w:r>
      <w:r w:rsidR="00D630BA">
        <w:t xml:space="preserve">cheat death </w:t>
      </w:r>
      <w:r w:rsidR="009951D9">
        <w:lastRenderedPageBreak/>
        <w:t>itself</w:t>
      </w:r>
      <w:r w:rsidR="00D630BA">
        <w:t>.</w:t>
      </w:r>
      <w:r w:rsidR="00586CAF">
        <w:t xml:space="preserve">  In both cases </w:t>
      </w:r>
      <w:r w:rsidR="00A52A41">
        <w:t xml:space="preserve">this urge is deeply human, and as </w:t>
      </w:r>
      <w:r w:rsidR="00586CAF">
        <w:t>old as history and literature</w:t>
      </w:r>
      <w:r w:rsidR="00A52A41">
        <w:t xml:space="preserve"> itself. </w:t>
      </w:r>
      <w:r w:rsidR="00D630BA">
        <w:t xml:space="preserve">But, </w:t>
      </w:r>
      <w:r w:rsidR="00586CAF">
        <w:t xml:space="preserve">Arendt claims, </w:t>
      </w:r>
      <w:r w:rsidR="00D630BA">
        <w:t>while the urge is not new, the questio</w:t>
      </w:r>
      <w:r w:rsidR="004A68F5">
        <w:t xml:space="preserve">n we face in the modern age is </w:t>
      </w:r>
      <w:r w:rsidR="00D630BA">
        <w:t>because</w:t>
      </w:r>
      <w:r w:rsidR="004A68F5">
        <w:t>, as Arendt suggests,</w:t>
      </w:r>
      <w:r w:rsidR="00D630BA">
        <w:t xml:space="preserve"> science and technology </w:t>
      </w:r>
      <w:r w:rsidR="00694E5D">
        <w:t xml:space="preserve">mean that we no longer have to ask </w:t>
      </w:r>
      <w:r w:rsidR="00D630BA">
        <w:t xml:space="preserve">whether we </w:t>
      </w:r>
      <w:r w:rsidR="00D630BA" w:rsidRPr="00694E5D">
        <w:rPr>
          <w:i/>
        </w:rPr>
        <w:t xml:space="preserve">can </w:t>
      </w:r>
      <w:r w:rsidR="00D630BA">
        <w:t xml:space="preserve">exchange what is given for something we have made, the question </w:t>
      </w:r>
      <w:r w:rsidR="00637CE4">
        <w:t>“</w:t>
      </w:r>
      <w:r w:rsidR="002B7427" w:rsidRPr="001E268C">
        <w:t>is only whether we wish to use our new scientific and technical kn</w:t>
      </w:r>
      <w:r w:rsidR="009951D9">
        <w:t>owledge in this direction.”</w:t>
      </w:r>
      <w:r w:rsidR="009951D9">
        <w:rPr>
          <w:rStyle w:val="FootnoteReference"/>
        </w:rPr>
        <w:footnoteReference w:id="4"/>
      </w:r>
      <w:r w:rsidR="006235F7">
        <w:t xml:space="preserve"> </w:t>
      </w:r>
      <w:r w:rsidR="000E35F1">
        <w:t>In Arendt’s words, the qu</w:t>
      </w:r>
      <w:r w:rsidR="0045598D">
        <w:t>estion is a matter of “judgment,</w:t>
      </w:r>
      <w:r w:rsidR="000E35F1">
        <w:t>”</w:t>
      </w:r>
      <w:r w:rsidR="0045598D">
        <w:t xml:space="preserve"> and </w:t>
      </w:r>
      <w:r w:rsidR="00524CF2">
        <w:t xml:space="preserve">cannot be decided by scientific means; </w:t>
      </w:r>
      <w:r w:rsidR="00E47286">
        <w:t>“</w:t>
      </w:r>
      <w:r w:rsidR="00524CF2">
        <w:t xml:space="preserve">it is a political question of the first order and therefore can hardly be left to the decision of professional </w:t>
      </w:r>
      <w:r w:rsidR="00EF161A">
        <w:t>scientists.”</w:t>
      </w:r>
      <w:r w:rsidR="00524CF2">
        <w:rPr>
          <w:rStyle w:val="FootnoteReference"/>
        </w:rPr>
        <w:footnoteReference w:id="5"/>
      </w:r>
    </w:p>
    <w:p w14:paraId="275ADCDE" w14:textId="14499846" w:rsidR="006235F7" w:rsidRDefault="008F2F5B" w:rsidP="007F3E91">
      <w:pPr>
        <w:pStyle w:val="Body"/>
      </w:pPr>
      <w:r>
        <w:t>Arendt’s hesitation was not meant to impugn scientists</w:t>
      </w:r>
      <w:r w:rsidR="00786A60">
        <w:t xml:space="preserve"> or engineers</w:t>
      </w:r>
      <w:r>
        <w:t>, or science</w:t>
      </w:r>
      <w:r w:rsidR="00786A60">
        <w:t xml:space="preserve"> and technology</w:t>
      </w:r>
      <w:r>
        <w:t>, merely to highlight the special challenge</w:t>
      </w:r>
      <w:r w:rsidR="00694E5D">
        <w:t>s</w:t>
      </w:r>
      <w:r>
        <w:t xml:space="preserve"> </w:t>
      </w:r>
      <w:r w:rsidR="00067DAA">
        <w:t>that contemporary</w:t>
      </w:r>
      <w:r w:rsidR="00D2503A">
        <w:t xml:space="preserve"> science and </w:t>
      </w:r>
      <w:r w:rsidR="00067DAA">
        <w:t>technology pose</w:t>
      </w:r>
      <w:r>
        <w:t xml:space="preserve"> to the faculty of judgment, particularly as it pertains to the ability to </w:t>
      </w:r>
      <w:r w:rsidR="002D1F4A">
        <w:t>“</w:t>
      </w:r>
      <w:r w:rsidR="00694E5D">
        <w:t>judge</w:t>
      </w:r>
      <w:r w:rsidR="002D1F4A">
        <w:t>”</w:t>
      </w:r>
      <w:r>
        <w:t xml:space="preserve"> the world </w:t>
      </w:r>
      <w:r w:rsidR="00067DAA">
        <w:t>they present to us</w:t>
      </w:r>
      <w:r w:rsidR="00CD66DD">
        <w:t xml:space="preserve">.  These challenges to our faculties of judgment, as well as the role that </w:t>
      </w:r>
      <w:r>
        <w:t xml:space="preserve">myth plays </w:t>
      </w:r>
      <w:r w:rsidR="00CD66DD">
        <w:t xml:space="preserve">in addressing them, </w:t>
      </w:r>
      <w:r>
        <w:t>are at the heart of this paper.</w:t>
      </w:r>
      <w:r w:rsidR="006C7693">
        <w:t xml:space="preserve"> </w:t>
      </w:r>
      <w:r w:rsidR="003407CC">
        <w:t xml:space="preserve">I will begin with an exploration of </w:t>
      </w:r>
      <w:r w:rsidR="00691416">
        <w:t xml:space="preserve">Arendt’s understanding of </w:t>
      </w:r>
      <w:r w:rsidR="003407CC">
        <w:t xml:space="preserve">the </w:t>
      </w:r>
      <w:r w:rsidR="00691416">
        <w:t xml:space="preserve">problems posed by contemporary science and technology, and the difficulties </w:t>
      </w:r>
      <w:r w:rsidR="00067DAA">
        <w:t>they</w:t>
      </w:r>
      <w:r w:rsidR="00691416">
        <w:t xml:space="preserve"> create for judgment</w:t>
      </w:r>
      <w:r w:rsidR="003407CC">
        <w:t xml:space="preserve">.  This will be followed by </w:t>
      </w:r>
      <w:r w:rsidR="00E47286">
        <w:t xml:space="preserve">a </w:t>
      </w:r>
      <w:r w:rsidR="003407CC">
        <w:t xml:space="preserve">brief description of the approach that Arendt developed to address these </w:t>
      </w:r>
      <w:r w:rsidR="00EB5C6A">
        <w:t xml:space="preserve">challenges, </w:t>
      </w:r>
      <w:r w:rsidR="003407CC">
        <w:t xml:space="preserve">a method she </w:t>
      </w:r>
      <w:r w:rsidR="00EB5C6A">
        <w:t xml:space="preserve">variously </w:t>
      </w:r>
      <w:r w:rsidR="003407CC">
        <w:t>described as</w:t>
      </w:r>
      <w:r w:rsidR="002A6561">
        <w:t xml:space="preserve"> </w:t>
      </w:r>
      <w:r w:rsidR="00EB5C6A">
        <w:t xml:space="preserve">pearl diving, </w:t>
      </w:r>
      <w:r w:rsidR="002A6561">
        <w:t>collecting</w:t>
      </w:r>
      <w:r w:rsidR="003407CC">
        <w:t xml:space="preserve"> and storytelling.  </w:t>
      </w:r>
      <w:r w:rsidR="006C7693">
        <w:t>I will conclude with a brief exercise in this approach, presenting several “</w:t>
      </w:r>
      <w:r w:rsidR="00EF161A">
        <w:t>pearls</w:t>
      </w:r>
      <w:r w:rsidR="006C7693">
        <w:t xml:space="preserve">” </w:t>
      </w:r>
      <w:r w:rsidR="00EB5C6A">
        <w:t xml:space="preserve">that </w:t>
      </w:r>
      <w:r w:rsidR="00E47286">
        <w:t xml:space="preserve">can </w:t>
      </w:r>
      <w:r w:rsidR="00EB5C6A">
        <w:t xml:space="preserve">help </w:t>
      </w:r>
      <w:r w:rsidR="00E47286">
        <w:t xml:space="preserve">us </w:t>
      </w:r>
      <w:r w:rsidR="00EB5C6A">
        <w:t>think about science</w:t>
      </w:r>
      <w:r w:rsidR="002D1F4A">
        <w:t xml:space="preserve"> and </w:t>
      </w:r>
      <w:r w:rsidR="00887985">
        <w:t>technology</w:t>
      </w:r>
      <w:r w:rsidR="00EB5C6A">
        <w:t xml:space="preserve">, </w:t>
      </w:r>
      <w:r w:rsidR="006C7693">
        <w:t xml:space="preserve">focusing </w:t>
      </w:r>
      <w:r w:rsidR="00EB5C6A">
        <w:t xml:space="preserve">largely on </w:t>
      </w:r>
      <w:r w:rsidR="006C7693">
        <w:t xml:space="preserve">space travel. </w:t>
      </w:r>
    </w:p>
    <w:p w14:paraId="70CF158F" w14:textId="3FA7BE44" w:rsidR="000E35F1" w:rsidRPr="006235F7" w:rsidRDefault="006235F7" w:rsidP="00691416">
      <w:pPr>
        <w:pStyle w:val="Heading1"/>
      </w:pPr>
      <w:r w:rsidRPr="006235F7">
        <w:t>The Limits of Science and the Loss of Tradition</w:t>
      </w:r>
      <w:r w:rsidR="003407CC" w:rsidRPr="006235F7">
        <w:t xml:space="preserve"> </w:t>
      </w:r>
    </w:p>
    <w:p w14:paraId="200C5090" w14:textId="3F5DCB78" w:rsidR="001856CD" w:rsidRDefault="00E856AA" w:rsidP="007F3E91">
      <w:pPr>
        <w:pStyle w:val="Body"/>
      </w:pPr>
      <w:r>
        <w:t xml:space="preserve">When Arendt claimed </w:t>
      </w:r>
      <w:r w:rsidR="001856CD">
        <w:t xml:space="preserve">that the question of what we do, and don’t do, with our knowledge and abilities is a political question, </w:t>
      </w:r>
      <w:r w:rsidR="00F446D2">
        <w:t>she meant</w:t>
      </w:r>
      <w:r w:rsidR="001856CD">
        <w:t xml:space="preserve"> that </w:t>
      </w:r>
      <w:r w:rsidR="00F446D2">
        <w:t xml:space="preserve">these are questions best </w:t>
      </w:r>
      <w:r w:rsidR="004B45F4">
        <w:t xml:space="preserve">addressed by </w:t>
      </w:r>
      <w:r w:rsidR="004B45F4" w:rsidRPr="00E856AA">
        <w:t>the</w:t>
      </w:r>
      <w:r w:rsidR="004B45F4">
        <w:t xml:space="preserve"> </w:t>
      </w:r>
      <w:r w:rsidR="004B45F4">
        <w:rPr>
          <w:i/>
        </w:rPr>
        <w:t xml:space="preserve">political </w:t>
      </w:r>
      <w:r w:rsidR="00255048">
        <w:t xml:space="preserve">faculty of judgment, </w:t>
      </w:r>
      <w:r>
        <w:t xml:space="preserve">in which persons </w:t>
      </w:r>
      <w:r w:rsidR="00F446D2">
        <w:t xml:space="preserve">engage in a public </w:t>
      </w:r>
      <w:r>
        <w:t xml:space="preserve">exchange </w:t>
      </w:r>
      <w:r w:rsidR="00F446D2">
        <w:t xml:space="preserve">of </w:t>
      </w:r>
      <w:r>
        <w:t xml:space="preserve">views to come to an agreement.  </w:t>
      </w:r>
      <w:r w:rsidR="00F446D2">
        <w:t xml:space="preserve">This faculty of judgment </w:t>
      </w:r>
      <w:r>
        <w:t xml:space="preserve">is a cornerstone of Arendt’s “politics of talk,” and it refers to our </w:t>
      </w:r>
      <w:r w:rsidRPr="00003AC3">
        <w:t xml:space="preserve">capacity to decide what is real in the world </w:t>
      </w:r>
      <w:r>
        <w:t xml:space="preserve">as well as the </w:t>
      </w:r>
      <w:r w:rsidRPr="00003AC3">
        <w:t xml:space="preserve">ability to evaluate what we take to be the case—is it right or wrong, beautiful or ugly—and to decide how we will </w:t>
      </w:r>
      <w:r w:rsidR="0080705C">
        <w:t>act in response</w:t>
      </w:r>
      <w:r w:rsidRPr="00003AC3">
        <w:t xml:space="preserve">. </w:t>
      </w:r>
      <w:r w:rsidR="00D15F6D">
        <w:t>A judgment</w:t>
      </w:r>
      <w:r w:rsidR="00FA0995">
        <w:t xml:space="preserve"> </w:t>
      </w:r>
      <w:r w:rsidR="00D15F6D">
        <w:t xml:space="preserve">is </w:t>
      </w:r>
      <w:r w:rsidR="00FA0995">
        <w:t>not true in the scientific sense—</w:t>
      </w:r>
      <w:r w:rsidR="004B45F4">
        <w:t>which is to say demonstrably true or false</w:t>
      </w:r>
      <w:r w:rsidR="00FA7C33">
        <w:t>—although some judgment</w:t>
      </w:r>
      <w:r w:rsidR="00F446D2">
        <w:t xml:space="preserve">s are </w:t>
      </w:r>
      <w:r w:rsidR="00FA7C33">
        <w:t>more valid than others, with that validity being based on how many perspectives or opinions are taken into account.</w:t>
      </w:r>
      <w:r w:rsidR="004B45F4">
        <w:t xml:space="preserve"> </w:t>
      </w:r>
      <w:r w:rsidR="00FA7C33">
        <w:t xml:space="preserve">The </w:t>
      </w:r>
      <w:r w:rsidR="004B45F4">
        <w:t>exchange of opinion</w:t>
      </w:r>
      <w:r w:rsidR="00FA7C33">
        <w:t>,</w:t>
      </w:r>
      <w:r w:rsidR="004B45F4">
        <w:t xml:space="preserve"> </w:t>
      </w:r>
      <w:r w:rsidR="00FA7C33">
        <w:t xml:space="preserve">and thus the validity of our judgments, is </w:t>
      </w:r>
      <w:r w:rsidR="004B45F4">
        <w:t>hampered by the nature of science and technology,</w:t>
      </w:r>
      <w:r w:rsidR="00FA7C33">
        <w:t xml:space="preserve"> not </w:t>
      </w:r>
      <w:r w:rsidR="00F446D2">
        <w:t xml:space="preserve">as </w:t>
      </w:r>
      <w:r w:rsidR="00FA7C33">
        <w:t xml:space="preserve">a matter of exclusion or privilege, although this may exacerbate the problem, </w:t>
      </w:r>
      <w:r w:rsidR="00F446D2">
        <w:t xml:space="preserve">but </w:t>
      </w:r>
      <w:r w:rsidR="00FA7C33">
        <w:t xml:space="preserve">because </w:t>
      </w:r>
      <w:r w:rsidR="004B45F4">
        <w:t>the truth of our modern scientific worldview can be proven mathematically and technologically, but they “no longer lend themselves to normal express</w:t>
      </w:r>
      <w:r w:rsidR="00FA7C33">
        <w:t>ions of speech and thought.”</w:t>
      </w:r>
      <w:r w:rsidR="00FA7C33">
        <w:rPr>
          <w:rStyle w:val="FootnoteReference"/>
        </w:rPr>
        <w:footnoteReference w:id="6"/>
      </w:r>
      <w:r w:rsidR="00F446D2">
        <w:t xml:space="preserve"> We cannot talk about science and technology because we don’t have the language for it.</w:t>
      </w:r>
    </w:p>
    <w:p w14:paraId="4374870B" w14:textId="6F365E71" w:rsidR="006F46B1" w:rsidRDefault="0098654A" w:rsidP="007F3E91">
      <w:pPr>
        <w:pStyle w:val="Body"/>
      </w:pPr>
      <w:r>
        <w:t xml:space="preserve">This problem is so fundamental that we </w:t>
      </w:r>
      <w:r w:rsidR="006F46B1">
        <w:t>can’t even rely on the expertise of s</w:t>
      </w:r>
      <w:r w:rsidR="00877612">
        <w:t>cientists or engineers</w:t>
      </w:r>
      <w:r w:rsidR="00AD4832">
        <w:t xml:space="preserve">.  This is in part </w:t>
      </w:r>
      <w:r w:rsidR="00877612">
        <w:t xml:space="preserve">because science is </w:t>
      </w:r>
      <w:r w:rsidR="00AD4832">
        <w:t xml:space="preserve">not </w:t>
      </w:r>
      <w:r w:rsidR="00877612">
        <w:t xml:space="preserve">a public space and </w:t>
      </w:r>
      <w:r w:rsidR="00AD4832">
        <w:t xml:space="preserve">its goals and methods are directed towards knowing, which is different from judgment.  </w:t>
      </w:r>
      <w:r w:rsidR="000B502E">
        <w:t xml:space="preserve">But the difficulties are deeper, because modern </w:t>
      </w:r>
      <w:r w:rsidR="00AD4832">
        <w:t>science resist</w:t>
      </w:r>
      <w:r w:rsidR="00914A49">
        <w:t>s</w:t>
      </w:r>
      <w:r w:rsidR="00AD4832">
        <w:t xml:space="preserve"> </w:t>
      </w:r>
      <w:r w:rsidR="00914A49">
        <w:t xml:space="preserve">translation into </w:t>
      </w:r>
      <w:r w:rsidR="00AD4832">
        <w:t xml:space="preserve">“common language,” </w:t>
      </w:r>
      <w:r w:rsidR="00914A49">
        <w:t xml:space="preserve">so that </w:t>
      </w:r>
      <w:r w:rsidR="00AD4832">
        <w:t xml:space="preserve">scientists </w:t>
      </w:r>
      <w:r w:rsidR="007E2A72">
        <w:t xml:space="preserve">are as lost as </w:t>
      </w:r>
      <w:r w:rsidR="00AD4832">
        <w:t>the rest of us</w:t>
      </w:r>
      <w:r w:rsidR="00914A49">
        <w:t xml:space="preserve">: </w:t>
      </w:r>
      <w:r w:rsidR="006F46B1" w:rsidRPr="00661864">
        <w:t>“left behind” and unable to talk about what they are doing</w:t>
      </w:r>
      <w:r w:rsidR="006F46B1">
        <w:t>.</w:t>
      </w:r>
      <w:r w:rsidR="00F311FD">
        <w:t xml:space="preserve"> T</w:t>
      </w:r>
      <w:r w:rsidR="006F46B1">
        <w:t>his universe is not only “‘practically inaccessible, but not even thinkable,’ for ‘however we think it, it is wrong; not per</w:t>
      </w:r>
      <w:r w:rsidR="00F311FD">
        <w:t>haps quite as meaningless as a ‘</w:t>
      </w:r>
      <w:r w:rsidR="006F46B1">
        <w:t>triangular circle,</w:t>
      </w:r>
      <w:r w:rsidR="00F311FD">
        <w:t>’</w:t>
      </w:r>
      <w:r w:rsidR="006F46B1">
        <w:t xml:space="preserve"> but muc</w:t>
      </w:r>
      <w:r w:rsidR="00F311FD">
        <w:t>h more so than a ‘</w:t>
      </w:r>
      <w:r w:rsidR="00064649">
        <w:t>winged lion</w:t>
      </w:r>
      <w:r w:rsidR="00F311FD">
        <w:t>.’</w:t>
      </w:r>
      <w:r w:rsidR="007E2A72">
        <w:t>”</w:t>
      </w:r>
      <w:r w:rsidR="006F46B1">
        <w:t xml:space="preserve"> </w:t>
      </w:r>
      <w:r w:rsidR="00F311FD">
        <w:t>S</w:t>
      </w:r>
      <w:r w:rsidR="006F46B1">
        <w:t>cience is confronted with new phenomena that “defies description in every conceivable way of human language” and “only expressed” mathematically.</w:t>
      </w:r>
      <w:r w:rsidR="00064649" w:rsidRPr="00064649">
        <w:rPr>
          <w:rStyle w:val="FootnoteReference"/>
        </w:rPr>
        <w:t xml:space="preserve"> </w:t>
      </w:r>
      <w:r w:rsidR="00064649">
        <w:rPr>
          <w:rStyle w:val="FootnoteReference"/>
        </w:rPr>
        <w:footnoteReference w:id="7"/>
      </w:r>
      <w:r w:rsidR="00064649">
        <w:t xml:space="preserve"> </w:t>
      </w:r>
      <w:r w:rsidR="006F46B1">
        <w:t xml:space="preserve"> </w:t>
      </w:r>
      <w:r w:rsidR="006F46B1" w:rsidRPr="00686150">
        <w:t xml:space="preserve">Max </w:t>
      </w:r>
      <w:r w:rsidR="006F46B1">
        <w:t xml:space="preserve">Planck </w:t>
      </w:r>
      <w:r w:rsidR="00710F39">
        <w:t xml:space="preserve">argued that </w:t>
      </w:r>
      <w:r w:rsidR="006F46B1">
        <w:t xml:space="preserve">mathematical results </w:t>
      </w:r>
      <w:r w:rsidR="00710F39">
        <w:t xml:space="preserve">needed to be </w:t>
      </w:r>
      <w:r w:rsidR="006F46B1">
        <w:t>translated into the la</w:t>
      </w:r>
      <w:r w:rsidR="00043387">
        <w:t xml:space="preserve">nguage of the world and senses, but </w:t>
      </w:r>
      <w:r w:rsidR="006F46B1">
        <w:t>this may not be possible because</w:t>
      </w:r>
      <w:r w:rsidR="00043387">
        <w:t xml:space="preserve">, according to Arendt, </w:t>
      </w:r>
      <w:r w:rsidR="006F46B1">
        <w:t>science has lost contact with the world of the senses, and the “categories and ideas of human reason have their ultimate source in human sense experience, and all terms describing our mental abilities as well as a good deal of our conceptual language derive from the world of the senses</w:t>
      </w:r>
      <w:r w:rsidR="00064649">
        <w:t xml:space="preserve"> and are used metaphorically.”</w:t>
      </w:r>
      <w:r w:rsidR="00064649">
        <w:rPr>
          <w:rStyle w:val="FootnoteReference"/>
        </w:rPr>
        <w:footnoteReference w:id="8"/>
      </w:r>
    </w:p>
    <w:p w14:paraId="7CFDC6D1" w14:textId="23A88B78" w:rsidR="00121EF8" w:rsidRDefault="00116BF9" w:rsidP="007F3E91">
      <w:pPr>
        <w:pStyle w:val="Body"/>
      </w:pPr>
      <w:r>
        <w:t xml:space="preserve">The result is that </w:t>
      </w:r>
      <w:r w:rsidR="00CD7746">
        <w:t>science itself is “</w:t>
      </w:r>
      <w:r w:rsidR="00EB2E25">
        <w:t xml:space="preserve">a world in which speech has lost its </w:t>
      </w:r>
      <w:r w:rsidR="00665125">
        <w:t xml:space="preserve">power” </w:t>
      </w:r>
      <w:r w:rsidR="00CD7746">
        <w:t xml:space="preserve">so that </w:t>
      </w:r>
      <w:r w:rsidR="00665125">
        <w:t xml:space="preserve">if we followed “the advice, so frequently urged upon us, to adjust cultural attitudes to the present status of scientific achievement, we would in all earnest adopt a way of life in which speech is </w:t>
      </w:r>
      <w:r w:rsidR="001140EE">
        <w:t>no longer meaningful."</w:t>
      </w:r>
      <w:r w:rsidR="001140EE">
        <w:rPr>
          <w:rStyle w:val="FootnoteReference"/>
        </w:rPr>
        <w:footnoteReference w:id="9"/>
      </w:r>
      <w:r w:rsidR="006F46B1">
        <w:t xml:space="preserve"> This </w:t>
      </w:r>
      <w:r w:rsidR="00892837">
        <w:t>“</w:t>
      </w:r>
      <w:r w:rsidR="00CD7746">
        <w:t>speechlessness</w:t>
      </w:r>
      <w:r w:rsidR="00892837">
        <w:t>”</w:t>
      </w:r>
      <w:r w:rsidR="00CD7746">
        <w:t xml:space="preserve"> </w:t>
      </w:r>
      <w:r w:rsidR="00892837">
        <w:t xml:space="preserve">would be </w:t>
      </w:r>
      <w:r w:rsidR="00CD7746">
        <w:t xml:space="preserve">a disaster </w:t>
      </w:r>
      <w:r w:rsidR="00120073">
        <w:t xml:space="preserve">for human life </w:t>
      </w:r>
      <w:r w:rsidR="00CF2583">
        <w:t>because whatever human beings “do or know or experience can make sense only to the extent that it can be spoken about."</w:t>
      </w:r>
      <w:r w:rsidR="00CF2583">
        <w:rPr>
          <w:rStyle w:val="FootnoteReference"/>
        </w:rPr>
        <w:footnoteReference w:id="10"/>
      </w:r>
      <w:r w:rsidR="00CF2583">
        <w:t xml:space="preserve"> O</w:t>
      </w:r>
      <w:r w:rsidR="00CD7746">
        <w:t xml:space="preserve">ur sense of belonging in the world </w:t>
      </w:r>
      <w:r w:rsidR="00CF2583">
        <w:t xml:space="preserve">depends on our ability to talk about it with others, so that we can humanize the world and </w:t>
      </w:r>
      <w:r w:rsidR="006F46B1">
        <w:t>situate ourselves in it</w:t>
      </w:r>
      <w:r w:rsidR="00027CC8">
        <w:t>.  It is speech</w:t>
      </w:r>
      <w:r w:rsidR="00CF2583">
        <w:t xml:space="preserve"> </w:t>
      </w:r>
      <w:r w:rsidR="00027CC8">
        <w:t xml:space="preserve">that </w:t>
      </w:r>
      <w:r w:rsidR="00CF2583">
        <w:t xml:space="preserve">makes </w:t>
      </w:r>
      <w:r w:rsidR="00914FCD">
        <w:t xml:space="preserve">the </w:t>
      </w:r>
      <w:r w:rsidR="00FB1F01">
        <w:t>world fit for human habitation</w:t>
      </w:r>
      <w:r w:rsidR="00120073">
        <w:t xml:space="preserve">, creating a world </w:t>
      </w:r>
      <w:r w:rsidR="00CD7746">
        <w:t xml:space="preserve">that we are </w:t>
      </w:r>
      <w:r w:rsidR="00FB1F01">
        <w:t xml:space="preserve">at home in </w:t>
      </w:r>
      <w:r w:rsidR="00120073">
        <w:t xml:space="preserve">and not a place where we merely reside. </w:t>
      </w:r>
      <w:r w:rsidR="00271F7C">
        <w:t xml:space="preserve">Human </w:t>
      </w:r>
      <w:r w:rsidR="00707D0D">
        <w:t>beings “in so far as they live and move and act in this world, can experience meaningfulness only because they can talk with and make sense to ea</w:t>
      </w:r>
      <w:r w:rsidR="008E7DC3">
        <w:t>ch other and to themselves."</w:t>
      </w:r>
      <w:r w:rsidR="008E7DC3">
        <w:rPr>
          <w:rStyle w:val="FootnoteReference"/>
        </w:rPr>
        <w:footnoteReference w:id="11"/>
      </w:r>
      <w:r w:rsidR="008E7DC3">
        <w:t xml:space="preserve"> </w:t>
      </w:r>
      <w:r w:rsidR="00121EF8">
        <w:t>Our inability to talk about what we know and what we can do threatens our sense of “at-</w:t>
      </w:r>
      <w:proofErr w:type="spellStart"/>
      <w:r w:rsidR="00121EF8">
        <w:t>homeness</w:t>
      </w:r>
      <w:proofErr w:type="spellEnd"/>
      <w:r w:rsidR="00121EF8">
        <w:t xml:space="preserve">” </w:t>
      </w:r>
      <w:r w:rsidR="00120073">
        <w:t xml:space="preserve">as well as </w:t>
      </w:r>
      <w:r w:rsidR="00121EF8">
        <w:t xml:space="preserve">our </w:t>
      </w:r>
      <w:r w:rsidR="00CD7746">
        <w:t>sense of meaning</w:t>
      </w:r>
      <w:r w:rsidR="00120073">
        <w:t xml:space="preserve"> and </w:t>
      </w:r>
      <w:r w:rsidR="00CD7746">
        <w:t>our ability to judge right from wrong</w:t>
      </w:r>
      <w:r w:rsidR="00121EF8">
        <w:t xml:space="preserve">. </w:t>
      </w:r>
    </w:p>
    <w:p w14:paraId="0EF19DE5" w14:textId="46FD35EF" w:rsidR="006D491A" w:rsidRDefault="004A189B" w:rsidP="007F3E91">
      <w:pPr>
        <w:pStyle w:val="Body"/>
      </w:pPr>
      <w:r>
        <w:t xml:space="preserve">The inability to talk about what we know and </w:t>
      </w:r>
      <w:r w:rsidR="00370831">
        <w:t xml:space="preserve">what we </w:t>
      </w:r>
      <w:r>
        <w:t xml:space="preserve">do and to </w:t>
      </w:r>
      <w:r w:rsidR="009C1D4A">
        <w:t>makes sense of our</w:t>
      </w:r>
      <w:r w:rsidR="00353DA4">
        <w:t xml:space="preserve"> </w:t>
      </w:r>
      <w:r>
        <w:t xml:space="preserve">experience in the context of </w:t>
      </w:r>
      <w:r w:rsidR="00353DA4">
        <w:t xml:space="preserve">the existing world </w:t>
      </w:r>
      <w:r>
        <w:t xml:space="preserve">is the essence of </w:t>
      </w:r>
      <w:r w:rsidR="00353DA4">
        <w:t xml:space="preserve">what Arendt identified as </w:t>
      </w:r>
      <w:r>
        <w:t xml:space="preserve">the crisis of </w:t>
      </w:r>
      <w:r w:rsidR="003F0A5E">
        <w:t>modernity</w:t>
      </w:r>
      <w:r w:rsidR="00B83277">
        <w:t>.  It is caused by</w:t>
      </w:r>
      <w:r>
        <w:t xml:space="preserve"> </w:t>
      </w:r>
      <w:r w:rsidR="0055551A">
        <w:t>a break in the tradition—</w:t>
      </w:r>
      <w:r w:rsidR="00353DA4">
        <w:t xml:space="preserve">the “thread that ties us to the past, </w:t>
      </w:r>
      <w:r w:rsidR="00A40278">
        <w:t>providing</w:t>
      </w:r>
      <w:r w:rsidR="00353DA4">
        <w:t xml:space="preserve"> a se</w:t>
      </w:r>
      <w:r w:rsidR="0055551A">
        <w:t>nse of permanence and stability</w:t>
      </w:r>
      <w:r w:rsidR="00353DA4">
        <w:t>”</w:t>
      </w:r>
      <w:r w:rsidR="00353DA4">
        <w:rPr>
          <w:rStyle w:val="FootnoteReference"/>
        </w:rPr>
        <w:footnoteReference w:id="12"/>
      </w:r>
      <w:r w:rsidR="0055551A">
        <w:t xml:space="preserve">—that </w:t>
      </w:r>
      <w:r w:rsidR="00F3218F">
        <w:t>is so profound that the tradition no lo</w:t>
      </w:r>
      <w:r w:rsidR="00A40278">
        <w:t>nger illuminates our experience</w:t>
      </w:r>
      <w:r w:rsidR="00F56AA0">
        <w:t xml:space="preserve">.  </w:t>
      </w:r>
      <w:r w:rsidR="00120073">
        <w:t xml:space="preserve">This break in the tradition explains why it </w:t>
      </w:r>
      <w:r w:rsidR="00F3218F">
        <w:t xml:space="preserve">is </w:t>
      </w:r>
      <w:r w:rsidR="002E4099">
        <w:t>“so obviously wanting in productive replies, when challenged by the ‘moral’ and philosophical questions of our time.”</w:t>
      </w:r>
      <w:r w:rsidR="00C22DBF">
        <w:rPr>
          <w:rStyle w:val="FootnoteReference"/>
        </w:rPr>
        <w:footnoteReference w:id="13"/>
      </w:r>
      <w:r w:rsidR="004D6AF2">
        <w:t xml:space="preserve"> </w:t>
      </w:r>
      <w:r w:rsidR="00DF2ECF">
        <w:t xml:space="preserve">It would be a mistake to associate this loss with </w:t>
      </w:r>
      <w:r w:rsidR="006D491A">
        <w:t>the challenges and rebellions of the 19</w:t>
      </w:r>
      <w:r w:rsidR="006D491A" w:rsidRPr="006417FD">
        <w:rPr>
          <w:vertAlign w:val="superscript"/>
        </w:rPr>
        <w:t>th</w:t>
      </w:r>
      <w:r w:rsidR="006D491A">
        <w:t xml:space="preserve"> Century, </w:t>
      </w:r>
      <w:r w:rsidR="00DF2ECF">
        <w:t xml:space="preserve">because, while these rebellions were characterized with the audacious tendency to think without authority, they nonetheless occurred within the context of traditional concepts. </w:t>
      </w:r>
      <w:r w:rsidR="00EA23E1">
        <w:t xml:space="preserve">What destroyed tradition was </w:t>
      </w:r>
      <w:r w:rsidR="00DF2ECF">
        <w:t xml:space="preserve">the </w:t>
      </w:r>
      <w:r w:rsidR="006D491A">
        <w:t>“chaos of mass perplexities on the political scene and of mass-op</w:t>
      </w:r>
      <w:r w:rsidR="004D37F2">
        <w:t>inions on the spiritual sense,”</w:t>
      </w:r>
      <w:r w:rsidR="004D37F2">
        <w:rPr>
          <w:rStyle w:val="FootnoteReference"/>
        </w:rPr>
        <w:footnoteReference w:id="14"/>
      </w:r>
      <w:r w:rsidR="006D491A">
        <w:t xml:space="preserve"> caused by the “unprecedented events” of the 20</w:t>
      </w:r>
      <w:r w:rsidR="006D491A" w:rsidRPr="00B12438">
        <w:rPr>
          <w:vertAlign w:val="superscript"/>
        </w:rPr>
        <w:t>th</w:t>
      </w:r>
      <w:r w:rsidR="006D491A">
        <w:t xml:space="preserve"> Century</w:t>
      </w:r>
      <w:r w:rsidR="00EA23E1">
        <w:t>.  Arendt associates</w:t>
      </w:r>
      <w:r w:rsidR="009D425F">
        <w:t xml:space="preserve"> these unprecedented events </w:t>
      </w:r>
      <w:r w:rsidR="00ED5E62">
        <w:t>mainly</w:t>
      </w:r>
      <w:r w:rsidR="006D491A">
        <w:t xml:space="preserve"> </w:t>
      </w:r>
      <w:r w:rsidR="009D425F">
        <w:t xml:space="preserve">with </w:t>
      </w:r>
      <w:r w:rsidR="006D491A">
        <w:t>totalitarian movements</w:t>
      </w:r>
      <w:r w:rsidR="009D425F">
        <w:t xml:space="preserve">, the existence of death camps within Nazi Germany and the Atom Bomb, but she included the development of </w:t>
      </w:r>
      <w:r w:rsidR="00951FA7">
        <w:t xml:space="preserve">modern </w:t>
      </w:r>
      <w:r w:rsidR="006D491A">
        <w:t>scientific knowledge and technological ability because in science and technology, as much as in totalitarianism and the camps, we “are confronted with something which has destroyed our categories of thoug</w:t>
      </w:r>
      <w:r w:rsidR="00F56AA0">
        <w:t>ht and standards of judgment.”</w:t>
      </w:r>
      <w:r w:rsidR="00F56AA0">
        <w:rPr>
          <w:rStyle w:val="FootnoteReference"/>
        </w:rPr>
        <w:footnoteReference w:id="15"/>
      </w:r>
      <w:r w:rsidR="00F56AA0">
        <w:t xml:space="preserve"> The result is “confusion and helplessness.”</w:t>
      </w:r>
      <w:r w:rsidR="00F56AA0">
        <w:rPr>
          <w:rStyle w:val="FootnoteReference"/>
        </w:rPr>
        <w:footnoteReference w:id="16"/>
      </w:r>
    </w:p>
    <w:p w14:paraId="66430B7E" w14:textId="0E8088BD" w:rsidR="006D491A" w:rsidRDefault="00DE28F5" w:rsidP="007F3E91">
      <w:pPr>
        <w:pStyle w:val="Body"/>
      </w:pPr>
      <w:r>
        <w:t>The rupture cause by science and technology is deeper than any single event or discovery</w:t>
      </w:r>
      <w:r w:rsidR="00A566C8">
        <w:t xml:space="preserve">, and she credits </w:t>
      </w:r>
      <w:proofErr w:type="spellStart"/>
      <w:r w:rsidR="00A566C8">
        <w:t>Søren</w:t>
      </w:r>
      <w:proofErr w:type="spellEnd"/>
      <w:r w:rsidR="00A566C8">
        <w:t xml:space="preserve"> Kierkegaard </w:t>
      </w:r>
      <w:r w:rsidR="00C01679">
        <w:t xml:space="preserve">with being one of the first to recognize </w:t>
      </w:r>
      <w:r w:rsidR="008C167E">
        <w:t>“</w:t>
      </w:r>
      <w:r w:rsidR="006D491A">
        <w:t>that the incompatibility of modern science with traditional beliefs does not lie in any</w:t>
      </w:r>
      <w:r w:rsidR="00235E79">
        <w:t xml:space="preserve"> specific scientific findings</w:t>
      </w:r>
      <w:r w:rsidR="00FF341E">
        <w:t>.</w:t>
      </w:r>
      <w:r w:rsidR="00235E79">
        <w:t>”</w:t>
      </w:r>
      <w:r w:rsidR="00235E79">
        <w:rPr>
          <w:rStyle w:val="FootnoteReference"/>
        </w:rPr>
        <w:footnoteReference w:id="17"/>
      </w:r>
      <w:r w:rsidR="006D491A">
        <w:t xml:space="preserve"> </w:t>
      </w:r>
      <w:r>
        <w:t>Individual scientific finding</w:t>
      </w:r>
      <w:r w:rsidR="006D491A">
        <w:t xml:space="preserve"> can be integrated</w:t>
      </w:r>
      <w:r w:rsidR="00CD7D7D">
        <w:t xml:space="preserve"> by</w:t>
      </w:r>
      <w:r w:rsidR="006D491A">
        <w:t xml:space="preserve"> </w:t>
      </w:r>
      <w:r w:rsidR="00EA6F73">
        <w:t>traditional religion</w:t>
      </w:r>
      <w:r w:rsidR="00CD7D7D">
        <w:t xml:space="preserve"> </w:t>
      </w:r>
      <w:r w:rsidR="006D491A">
        <w:t xml:space="preserve">since </w:t>
      </w:r>
      <w:r w:rsidR="00CD7D7D">
        <w:t xml:space="preserve">none of them undermine faith. </w:t>
      </w:r>
      <w:r w:rsidR="00915D88">
        <w:t>The incompatibility between science and religion—or between science and any tradition—</w:t>
      </w:r>
      <w:r w:rsidR="00F656EC">
        <w:t xml:space="preserve">lies </w:t>
      </w:r>
      <w:r w:rsidR="00915D88">
        <w:t>“</w:t>
      </w:r>
      <w:r w:rsidR="006D491A">
        <w:t>in the conflict between a spirit of doubt and distrust which ultimately can trust only what it has made itself, and the traditional unquestioning confidence in what has been given and appears in its true bein</w:t>
      </w:r>
      <w:r w:rsidR="002644CE">
        <w:t>g to man’s reason and senses.”</w:t>
      </w:r>
      <w:r w:rsidR="002644CE">
        <w:rPr>
          <w:rStyle w:val="FootnoteReference"/>
        </w:rPr>
        <w:footnoteReference w:id="18"/>
      </w:r>
      <w:r w:rsidR="006D491A">
        <w:t xml:space="preserve">  </w:t>
      </w:r>
      <w:r w:rsidR="00C31D87">
        <w:t>Rather than trust in our experience of what has revealed itself to us—whether our own experience or those who have come before us—science trusts only the experiences it has “made” through controlled experimen</w:t>
      </w:r>
      <w:r w:rsidR="00EC190F">
        <w:t>t</w:t>
      </w:r>
      <w:r w:rsidR="00C31D87">
        <w:t xml:space="preserve">s. </w:t>
      </w:r>
      <w:r w:rsidR="00EC190F">
        <w:t xml:space="preserve">This logic of “making” permeates the world of science, so that “theory” no longer refers to reasonably connected truths which are “given to reason and the senses” but becomes </w:t>
      </w:r>
      <w:r w:rsidR="00EC190F">
        <w:rPr>
          <w:i/>
        </w:rPr>
        <w:t>scientific</w:t>
      </w:r>
      <w:r w:rsidR="00EC190F">
        <w:t xml:space="preserve"> theory “which is a working hypothesis, changing in accordance with the results it produces depending for its validity not on what it revea</w:t>
      </w:r>
      <w:r w:rsidR="002644CE">
        <w:t>ls, but on whether it works.’”</w:t>
      </w:r>
      <w:r w:rsidR="002644CE">
        <w:rPr>
          <w:rStyle w:val="FootnoteReference"/>
        </w:rPr>
        <w:footnoteReference w:id="19"/>
      </w:r>
      <w:r w:rsidR="00EC190F">
        <w:t xml:space="preserve"> </w:t>
      </w:r>
      <w:r w:rsidR="006D491A">
        <w:t xml:space="preserve">For this reason, “the rise of modern science, whose spirit is expressed in the Cartesian philosophy </w:t>
      </w:r>
      <w:r w:rsidR="00EC190F">
        <w:t>of doubt and mistrust”</w:t>
      </w:r>
      <w:r w:rsidR="0014213A" w:rsidRPr="0014213A">
        <w:rPr>
          <w:rStyle w:val="FootnoteReference"/>
        </w:rPr>
        <w:t xml:space="preserve"> </w:t>
      </w:r>
      <w:r w:rsidR="0014213A">
        <w:rPr>
          <w:rStyle w:val="FootnoteReference"/>
        </w:rPr>
        <w:footnoteReference w:id="20"/>
      </w:r>
      <w:r w:rsidR="00EC190F">
        <w:t xml:space="preserve"> undermines all tradition, including religion, because </w:t>
      </w:r>
      <w:r w:rsidR="000540C0">
        <w:t>the</w:t>
      </w:r>
      <w:r w:rsidR="00EC190F">
        <w:t xml:space="preserve"> </w:t>
      </w:r>
      <w:r w:rsidR="006D491A">
        <w:t xml:space="preserve">conceptual framework </w:t>
      </w:r>
      <w:r w:rsidR="00FB7D41">
        <w:t xml:space="preserve">of tradition </w:t>
      </w:r>
      <w:r w:rsidR="00EC190F">
        <w:t xml:space="preserve">relies on trust </w:t>
      </w:r>
      <w:r w:rsidR="00B27E6C">
        <w:t>that what “appears to me</w:t>
      </w:r>
      <w:r w:rsidR="00EC190F">
        <w:t>”</w:t>
      </w:r>
      <w:r w:rsidR="000540C0">
        <w:t xml:space="preserve">—and to others before me—was, is, and will remain </w:t>
      </w:r>
      <w:r w:rsidR="00B27E6C">
        <w:t xml:space="preserve">true.  </w:t>
      </w:r>
    </w:p>
    <w:p w14:paraId="1875E0CC" w14:textId="2B07D643" w:rsidR="009A616C" w:rsidRDefault="00D00DFD" w:rsidP="007F3E91">
      <w:pPr>
        <w:pStyle w:val="Body"/>
      </w:pPr>
      <w:r>
        <w:t xml:space="preserve">The crisis of the modern world, our ability to make sound judgments about what we know and do, </w:t>
      </w:r>
      <w:r w:rsidR="007E2C27">
        <w:t>is not a moral crisis, it is “an unprecedented ‘problem of understanding’” that exists because the “traditional categories and standards that ordinarily serve as guideposts to cr</w:t>
      </w:r>
      <w:r>
        <w:t>itical thought” no longer work</w:t>
      </w:r>
      <w:r w:rsidR="007E2C27">
        <w:t xml:space="preserve">. </w:t>
      </w:r>
      <w:r w:rsidR="009A616C">
        <w:t xml:space="preserve">They </w:t>
      </w:r>
      <w:r>
        <w:t xml:space="preserve">have been </w:t>
      </w:r>
      <w:r w:rsidR="009A616C">
        <w:t xml:space="preserve">weakened by a spirit of </w:t>
      </w:r>
      <w:r>
        <w:t>distrust</w:t>
      </w:r>
      <w:r w:rsidR="009A616C">
        <w:t xml:space="preserve"> that permeated public life, and by events so unprecedented that they could not be addressed by traditional categories of thought.  </w:t>
      </w:r>
      <w:r>
        <w:t xml:space="preserve">It has </w:t>
      </w:r>
      <w:r w:rsidR="009A616C">
        <w:t xml:space="preserve">become impossible to transpose “past insights into contemporary wisdom,” because it is the tradition that </w:t>
      </w:r>
      <w:r>
        <w:t>transforms truth</w:t>
      </w:r>
      <w:r w:rsidR="009A616C">
        <w:t xml:space="preserve"> into wisdom, and without the tradition, even if we know the truth, we cannot be wise.</w:t>
      </w:r>
    </w:p>
    <w:p w14:paraId="516A771B" w14:textId="4B8F4AF5" w:rsidR="002A4585" w:rsidRDefault="00D00DFD" w:rsidP="007F3E91">
      <w:pPr>
        <w:pStyle w:val="Body"/>
      </w:pPr>
      <w:r>
        <w:t xml:space="preserve">Arendt worried that this </w:t>
      </w:r>
      <w:proofErr w:type="gramStart"/>
      <w:r>
        <w:t>meant that</w:t>
      </w:r>
      <w:proofErr w:type="gramEnd"/>
      <w:r>
        <w:t xml:space="preserve"> </w:t>
      </w:r>
      <w:r w:rsidR="00707D0D">
        <w:t>“</w:t>
      </w:r>
      <w:r w:rsidR="003D4F81">
        <w:t>we, who are earth-bound creatures and have begun to act as though we were dwellers of the universe, will forever be unable to understand, that is, to think and speak about things which we ar</w:t>
      </w:r>
      <w:r w:rsidR="006D491A">
        <w:t>e nevertheless able to do.”</w:t>
      </w:r>
      <w:r w:rsidR="009C4CF5">
        <w:rPr>
          <w:rStyle w:val="FootnoteReference"/>
        </w:rPr>
        <w:footnoteReference w:id="21"/>
      </w:r>
      <w:r w:rsidR="003D4F81">
        <w:t xml:space="preserve"> If this is the case, and if it is permanent, then “knowledge . . . and thought have parted company” and we will “become the helpless slaves, not so much of our machines as of our know-how, thoughtless creatures at the mercy of every gadget which is technically possible, no</w:t>
      </w:r>
      <w:r w:rsidR="00137021">
        <w:t xml:space="preserve"> matter how murderous it is.”</w:t>
      </w:r>
      <w:r w:rsidR="008D3BE2">
        <w:rPr>
          <w:rStyle w:val="FootnoteReference"/>
        </w:rPr>
        <w:footnoteReference w:id="22"/>
      </w:r>
      <w:r w:rsidR="008D3BE2">
        <w:t xml:space="preserve"> </w:t>
      </w:r>
      <w:r w:rsidR="009A616C">
        <w:t xml:space="preserve"> </w:t>
      </w:r>
      <w:r w:rsidR="00471729">
        <w:t xml:space="preserve">What we need, according to Arendt, is </w:t>
      </w:r>
      <w:r w:rsidR="002A4585" w:rsidRPr="006A6220">
        <w:t>“a narrative that would once again reorient the mind in its aimless wanderings for only such a reorientation could realign the past</w:t>
      </w:r>
      <w:r w:rsidR="002A4585">
        <w:t xml:space="preserve"> such as to build the future.”</w:t>
      </w:r>
      <w:r w:rsidR="002A4585">
        <w:rPr>
          <w:rStyle w:val="FootnoteReference"/>
        </w:rPr>
        <w:footnoteReference w:id="23"/>
      </w:r>
      <w:r w:rsidR="002A4585" w:rsidRPr="006A6220">
        <w:t xml:space="preserve">  </w:t>
      </w:r>
    </w:p>
    <w:p w14:paraId="5C462979" w14:textId="614596E9" w:rsidR="008C5E64" w:rsidRDefault="00972D0C" w:rsidP="00D7294F">
      <w:pPr>
        <w:pStyle w:val="Heading1"/>
      </w:pPr>
      <w:r w:rsidRPr="00972D0C">
        <w:t>Storytelling</w:t>
      </w:r>
    </w:p>
    <w:p w14:paraId="2A563D94" w14:textId="35D0DCCD" w:rsidR="00073DFF" w:rsidRDefault="00B06955" w:rsidP="007F3E91">
      <w:pPr>
        <w:pStyle w:val="Body"/>
      </w:pPr>
      <w:r>
        <w:t xml:space="preserve">Arendt’s </w:t>
      </w:r>
      <w:r w:rsidR="003B38F8">
        <w:t xml:space="preserve">assertion that it was necessary </w:t>
      </w:r>
      <w:r>
        <w:t xml:space="preserve">to think within the breach of the tradition had its basis in her experience of totalitarianism, specifically as a Jew living in Nazi Germany.  </w:t>
      </w:r>
      <w:r w:rsidR="005F38F5">
        <w:t xml:space="preserve">She claimed that the emergence of this </w:t>
      </w:r>
      <w:r>
        <w:t>new form of government, and the experience of the concentration camps</w:t>
      </w:r>
      <w:r w:rsidR="003B38F8">
        <w:t xml:space="preserve"> were so unprecedented that traditional moral and conceptual categories were inadequate to the task of describing them.  Despite this failure, these categories are so </w:t>
      </w:r>
      <w:r w:rsidR="005F38F5">
        <w:t>“deeply in</w:t>
      </w:r>
      <w:r>
        <w:t>grained in our mind”</w:t>
      </w:r>
      <w:r w:rsidR="003B38F8">
        <w:t xml:space="preserve"> that we </w:t>
      </w:r>
      <w:r w:rsidR="00D54DDE">
        <w:t xml:space="preserve">cling to them </w:t>
      </w:r>
      <w:r w:rsidR="003B38F8">
        <w:t xml:space="preserve">in part because we think that these categories are </w:t>
      </w:r>
      <w:r w:rsidR="00D54DDE">
        <w:t>justified not by their ability to describe actual events, but by their “</w:t>
      </w:r>
      <w:r>
        <w:t>intellectual consistency</w:t>
      </w:r>
      <w:r w:rsidR="00D54DDE">
        <w:t>.”</w:t>
      </w:r>
      <w:r w:rsidR="00D54DDE" w:rsidRPr="00D54DDE">
        <w:rPr>
          <w:rStyle w:val="FootnoteReference"/>
        </w:rPr>
        <w:t xml:space="preserve"> </w:t>
      </w:r>
      <w:r w:rsidR="00D54DDE">
        <w:rPr>
          <w:rStyle w:val="FootnoteReference"/>
        </w:rPr>
        <w:footnoteReference w:id="24"/>
      </w:r>
      <w:r w:rsidR="00D54DDE">
        <w:t xml:space="preserve"> </w:t>
      </w:r>
      <w:r w:rsidR="003B38F8">
        <w:t xml:space="preserve">Unfortunately, using the tradition in this way not only leaves us unable to describe our experiences, it tends to normalize </w:t>
      </w:r>
      <w:r w:rsidR="003B38F8" w:rsidRPr="003B38F8">
        <w:rPr>
          <w:i/>
        </w:rPr>
        <w:t>all</w:t>
      </w:r>
      <w:r w:rsidR="003B38F8">
        <w:t xml:space="preserve"> experiences, fitting them into a preconceived framework, a process that by </w:t>
      </w:r>
      <w:r w:rsidR="00D54DDE">
        <w:t xml:space="preserve">its very nature proclaims that there is nothing new </w:t>
      </w:r>
      <w:r w:rsidR="003B38F8">
        <w:t xml:space="preserve">or extraordinary about these experiences. </w:t>
      </w:r>
      <w:r w:rsidR="00D54DDE">
        <w:t xml:space="preserve">But, the actual experience of the camps </w:t>
      </w:r>
      <w:r w:rsidR="003B38F8">
        <w:t xml:space="preserve">and of these totalitarian forms of government was </w:t>
      </w:r>
      <w:r w:rsidR="00D54DDE">
        <w:t xml:space="preserve">new. </w:t>
      </w:r>
      <w:r w:rsidR="003B38F8">
        <w:t xml:space="preserve">Further, falling back on </w:t>
      </w:r>
      <w:r w:rsidR="00D54DDE">
        <w:t xml:space="preserve">these conceptual crutches not only made it impossible to see these </w:t>
      </w:r>
      <w:r w:rsidR="003B38F8">
        <w:t xml:space="preserve">experiences </w:t>
      </w:r>
      <w:r w:rsidR="00D54DDE">
        <w:t xml:space="preserve">for what they were, it stopped </w:t>
      </w:r>
      <w:r w:rsidR="00720CB8">
        <w:t xml:space="preserve">us </w:t>
      </w:r>
      <w:r w:rsidR="00D54DDE">
        <w:t xml:space="preserve">from thinking </w:t>
      </w:r>
      <w:r w:rsidR="00720CB8">
        <w:t xml:space="preserve">altogether, because thought itself is replaced by these categories.  The result is that we uncritically accept received categories and force events and experiences into them, redefining them, or simply ignore them altogether. </w:t>
      </w:r>
    </w:p>
    <w:p w14:paraId="73873D96" w14:textId="62180489" w:rsidR="00B304CB" w:rsidRDefault="00B304CB" w:rsidP="007F3E91">
      <w:pPr>
        <w:pStyle w:val="Body"/>
      </w:pPr>
      <w:r>
        <w:t xml:space="preserve">Totalitarianism presented numerous challenges for Arendt.  She wanted to explore it, without making sense of it; and </w:t>
      </w:r>
      <w:r w:rsidR="00D54DDE">
        <w:t xml:space="preserve">to speak of it </w:t>
      </w:r>
      <w:r w:rsidR="00C36440">
        <w:t>“in a way that does not compel assent but rather stirs people to think about what they are doing.”</w:t>
      </w:r>
      <w:r w:rsidR="00C36440">
        <w:rPr>
          <w:rStyle w:val="FootnoteReference"/>
        </w:rPr>
        <w:footnoteReference w:id="25"/>
      </w:r>
      <w:r w:rsidR="00C36440" w:rsidRPr="00D86E87">
        <w:t xml:space="preserve"> </w:t>
      </w:r>
      <w:r>
        <w:t xml:space="preserve">In the process, she wanted to reclaim the past without being enslaved by tradition.  </w:t>
      </w:r>
      <w:r w:rsidR="00B06955">
        <w:t>What Arendt wanted was a</w:t>
      </w:r>
      <w:r w:rsidR="00B81264">
        <w:t xml:space="preserve"> way</w:t>
      </w:r>
      <w:r w:rsidR="000D09F7">
        <w:t xml:space="preserve"> to </w:t>
      </w:r>
      <w:proofErr w:type="gramStart"/>
      <w:r w:rsidR="000D09F7">
        <w:t>think</w:t>
      </w:r>
      <w:proofErr w:type="gramEnd"/>
      <w:r w:rsidR="000D09F7">
        <w:t xml:space="preserve"> </w:t>
      </w:r>
      <w:r w:rsidR="00B06955">
        <w:t>“that needs no pillars and props, no standards and traditions” that would enable us “to move freely without crutches over unfamiliar terrain.”</w:t>
      </w:r>
      <w:r w:rsidR="00B06955">
        <w:rPr>
          <w:rStyle w:val="FootnoteReference"/>
        </w:rPr>
        <w:footnoteReference w:id="26"/>
      </w:r>
      <w:r w:rsidR="00B06955">
        <w:t xml:space="preserve">  </w:t>
      </w:r>
      <w:r w:rsidR="000D09F7">
        <w:t>What she wanted was to begin with experience—“</w:t>
      </w:r>
      <w:r w:rsidR="00C80879">
        <w:t>thought itself arises out of incidents of living experience and must remain bound to them as the only guideposts by which to take our bearings”</w:t>
      </w:r>
      <w:r w:rsidR="00C80879">
        <w:rPr>
          <w:rStyle w:val="FootnoteReference"/>
        </w:rPr>
        <w:footnoteReference w:id="27"/>
      </w:r>
      <w:r w:rsidR="00C80879">
        <w:t>—</w:t>
      </w:r>
      <w:r w:rsidR="002B6B82">
        <w:t>and to think from there, developing a “critica</w:t>
      </w:r>
      <w:r>
        <w:t>l understanding from experience</w:t>
      </w:r>
      <w:r w:rsidR="002B6B82">
        <w:t>”</w:t>
      </w:r>
      <w:r w:rsidR="002B6B82">
        <w:rPr>
          <w:rStyle w:val="FootnoteReference"/>
        </w:rPr>
        <w:footnoteReference w:id="28"/>
      </w:r>
      <w:r w:rsidR="002B6B82">
        <w:t xml:space="preserve"> </w:t>
      </w:r>
    </w:p>
    <w:p w14:paraId="5898E64B" w14:textId="0B2A8F87" w:rsidR="00B304CB" w:rsidRDefault="00B304CB" w:rsidP="007F3E91">
      <w:pPr>
        <w:pStyle w:val="Body"/>
      </w:pPr>
      <w:r>
        <w:t>Arendt described the method she eventually developed as “storytelli</w:t>
      </w:r>
      <w:r w:rsidR="00371C93">
        <w:t xml:space="preserve">ng,” </w:t>
      </w:r>
      <w:proofErr w:type="gramStart"/>
      <w:r w:rsidR="00371C93">
        <w:t>claiming that</w:t>
      </w:r>
      <w:proofErr w:type="gramEnd"/>
      <w:r w:rsidR="00371C93">
        <w:t xml:space="preserve"> “when the salient feature of a dilemma is that it cannot be understood in terms of ‘pre-articulated’ rules, it is best represented by telling a story.”</w:t>
      </w:r>
      <w:r w:rsidR="00371C93">
        <w:rPr>
          <w:rStyle w:val="FootnoteReference"/>
        </w:rPr>
        <w:footnoteReference w:id="29"/>
      </w:r>
      <w:r w:rsidR="00371C93">
        <w:t xml:space="preserve"> Storytelling was </w:t>
      </w:r>
      <w:r w:rsidR="003C6A16">
        <w:t xml:space="preserve">a way of thinking that arose from </w:t>
      </w:r>
      <w:r>
        <w:t>experience</w:t>
      </w:r>
      <w:r w:rsidR="00371C93">
        <w:t xml:space="preserve">, and it necessarily </w:t>
      </w:r>
      <w:r w:rsidR="00C872A9">
        <w:t>involved discovering and (</w:t>
      </w:r>
      <w:proofErr w:type="gramStart"/>
      <w:r w:rsidR="00C872A9">
        <w:t>re)creating</w:t>
      </w:r>
      <w:proofErr w:type="gramEnd"/>
      <w:r w:rsidR="00C872A9">
        <w:t xml:space="preserve"> stories, because while h</w:t>
      </w:r>
      <w:r w:rsidR="003C6A16">
        <w:t>uman experience can be “crystali</w:t>
      </w:r>
      <w:r w:rsidR="0085181E">
        <w:t>zed” into many different forms—</w:t>
      </w:r>
      <w:r w:rsidR="003C6A16">
        <w:t>including art, poetry and abstract concepts—but stories,</w:t>
      </w:r>
      <w:r w:rsidR="00D75F2C">
        <w:t xml:space="preserve"> including literature and myth,</w:t>
      </w:r>
      <w:r w:rsidR="003C6A16">
        <w:t xml:space="preserve"> </w:t>
      </w:r>
      <w:r w:rsidR="00D75F2C">
        <w:t xml:space="preserve">are </w:t>
      </w:r>
      <w:r w:rsidR="003C6A16">
        <w:t xml:space="preserve">the privileged form for describing human experience because human beings are </w:t>
      </w:r>
      <w:r w:rsidR="00D75F2C">
        <w:t xml:space="preserve">first and foremost </w:t>
      </w:r>
      <w:r w:rsidR="003C6A16">
        <w:t>actors and action can only be preserved through a story:  “the reason why each human life tells its story and why history ultimately becomes the storybook of mankind . . . is that both are the outcome of action.”</w:t>
      </w:r>
      <w:r w:rsidR="003C6A16">
        <w:rPr>
          <w:rStyle w:val="FootnoteReference"/>
        </w:rPr>
        <w:footnoteReference w:id="30"/>
      </w:r>
      <w:r w:rsidR="003C6A16">
        <w:t xml:space="preserve">  Because human action and thus human identity are narratively structured, “the continued retelling of the past, its continued reintegration into the story of the present, its continuous reevaluation, reassessment and reconfiguration, are ontological conditions of the kinds of beings we are.”</w:t>
      </w:r>
      <w:r w:rsidR="003C6A16">
        <w:rPr>
          <w:rStyle w:val="FootnoteReference"/>
        </w:rPr>
        <w:footnoteReference w:id="31"/>
      </w:r>
      <w:r w:rsidR="003C6A16">
        <w:t xml:space="preserve"> </w:t>
      </w:r>
      <w:r w:rsidR="00D75F2C">
        <w:t xml:space="preserve">Narratives are the </w:t>
      </w:r>
      <w:r w:rsidR="003C6A16">
        <w:t>“repository of human experiences in which we can find permanent human possibilities that are wider than those known and expected within our own culture.”</w:t>
      </w:r>
      <w:r w:rsidR="003C6A16">
        <w:rPr>
          <w:rStyle w:val="FootnoteReference"/>
        </w:rPr>
        <w:footnoteReference w:id="32"/>
      </w:r>
      <w:r w:rsidR="00D75F2C">
        <w:t xml:space="preserve">  S</w:t>
      </w:r>
      <w:r w:rsidR="003C6A16">
        <w:t xml:space="preserve">tories are not disposable or </w:t>
      </w:r>
      <w:r w:rsidR="00D75F2C">
        <w:t xml:space="preserve">replaceable; they are the means by which human experience is preserved for future generations. </w:t>
      </w:r>
      <w:r w:rsidR="003C6A16">
        <w:t xml:space="preserve">  </w:t>
      </w:r>
    </w:p>
    <w:p w14:paraId="7237153E" w14:textId="624FA074" w:rsidR="00371C93" w:rsidRDefault="00C872A9" w:rsidP="007F3E91">
      <w:pPr>
        <w:pStyle w:val="Body"/>
      </w:pPr>
      <w:r>
        <w:t xml:space="preserve">This method of storytelling begins with one’s own experience, the experience of the thinker, and it must, of course, always </w:t>
      </w:r>
      <w:proofErr w:type="gramStart"/>
      <w:r w:rsidR="000013FA">
        <w:t>returns</w:t>
      </w:r>
      <w:proofErr w:type="gramEnd"/>
      <w:r w:rsidR="000013FA">
        <w:t xml:space="preserve"> to </w:t>
      </w:r>
      <w:r>
        <w:t xml:space="preserve">this experience.  But it can never rely on a single viewpoint, because that would lead to the type of ideological non-thinking </w:t>
      </w:r>
      <w:r w:rsidR="009474AF">
        <w:t>about which</w:t>
      </w:r>
      <w:r>
        <w:t xml:space="preserve"> Arendt was so concerned.  The storyteller must therefore expand her horizon </w:t>
      </w:r>
      <w:r w:rsidR="009474AF">
        <w:t xml:space="preserve">so that she can </w:t>
      </w:r>
      <w:r>
        <w:t xml:space="preserve">include </w:t>
      </w:r>
      <w:r w:rsidR="00DB2DC8">
        <w:t xml:space="preserve">other stories, other experiences. </w:t>
      </w:r>
      <w:r>
        <w:t xml:space="preserve">Lisa </w:t>
      </w:r>
      <w:proofErr w:type="spellStart"/>
      <w:r>
        <w:t>Disch</w:t>
      </w:r>
      <w:proofErr w:type="spellEnd"/>
      <w:r>
        <w:t xml:space="preserve"> describes this as developing a kind of “visiting imagination” where we put ourselves in the place of another and attempt</w:t>
      </w:r>
      <w:r w:rsidR="009474AF">
        <w:t xml:space="preserve"> to</w:t>
      </w:r>
      <w:r>
        <w:t xml:space="preserve"> imagine what the world looks </w:t>
      </w:r>
      <w:r w:rsidR="00DB2DC8">
        <w:t xml:space="preserve">and feels like from their perspective. Arendt describes just this kind of an approach in </w:t>
      </w:r>
      <w:r>
        <w:t xml:space="preserve">a rare moment when she </w:t>
      </w:r>
      <w:r w:rsidR="000013FA">
        <w:t>elaborated on</w:t>
      </w:r>
      <w:r>
        <w:t xml:space="preserve"> her </w:t>
      </w:r>
      <w:r w:rsidR="00DB2DC8">
        <w:t>method</w:t>
      </w:r>
      <w:r>
        <w:t xml:space="preserve">, </w:t>
      </w:r>
      <w:r w:rsidR="00DB2DC8">
        <w:t>claiming</w:t>
      </w:r>
      <w:r>
        <w:t xml:space="preserve"> that her starting point for her controversial “Reflection on Little Rock” was the photograph of </w:t>
      </w:r>
      <w:r>
        <w:rPr>
          <w:rFonts w:eastAsia="Times New Roman"/>
        </w:rPr>
        <w:t xml:space="preserve">Elizabeth </w:t>
      </w:r>
      <w:proofErr w:type="spellStart"/>
      <w:r>
        <w:rPr>
          <w:rFonts w:eastAsia="Times New Roman"/>
        </w:rPr>
        <w:t>Eckford</w:t>
      </w:r>
      <w:proofErr w:type="spellEnd"/>
      <w:r>
        <w:rPr>
          <w:rFonts w:eastAsia="Times New Roman"/>
        </w:rPr>
        <w:t xml:space="preserve"> being jeered by a crowd and the question</w:t>
      </w:r>
      <w:r w:rsidR="000013FA">
        <w:t xml:space="preserve"> “W</w:t>
      </w:r>
      <w:r>
        <w:t>hat would I</w:t>
      </w:r>
      <w:r w:rsidR="00DB2DC8">
        <w:t xml:space="preserve"> do if I were a Negro mother?”</w:t>
      </w:r>
      <w:r w:rsidR="00DB2DC8">
        <w:rPr>
          <w:rStyle w:val="FootnoteReference"/>
        </w:rPr>
        <w:footnoteReference w:id="33"/>
      </w:r>
      <w:r>
        <w:t xml:space="preserve">  </w:t>
      </w:r>
    </w:p>
    <w:p w14:paraId="0CE23C88" w14:textId="11756EAA" w:rsidR="00161B90" w:rsidRDefault="00021B24" w:rsidP="007F3E91">
      <w:pPr>
        <w:pStyle w:val="Body"/>
      </w:pPr>
      <w:r>
        <w:t xml:space="preserve">Storytelling is not restricted to the present, any more than it is restricted to the experience of the storyteller. Storytelling </w:t>
      </w:r>
      <w:r w:rsidR="00983A5C">
        <w:t xml:space="preserve">includes the ability to delve </w:t>
      </w:r>
      <w:r>
        <w:t xml:space="preserve">into the past to find the bits of experience that have been left behind. </w:t>
      </w:r>
      <w:r w:rsidR="00AF146E">
        <w:t>T</w:t>
      </w:r>
      <w:r w:rsidR="00694392">
        <w:t xml:space="preserve">hese bits of experiences are passed on from generation to generation in a variety of </w:t>
      </w:r>
      <w:r w:rsidR="00746A38">
        <w:t xml:space="preserve">“thought things,” </w:t>
      </w:r>
      <w:r w:rsidR="00AF146E">
        <w:t xml:space="preserve">each of which has a kind of permanence, and they </w:t>
      </w:r>
      <w:r w:rsidR="00864BAA">
        <w:t xml:space="preserve">continue to exist even </w:t>
      </w:r>
      <w:r w:rsidR="00AF146E">
        <w:t xml:space="preserve">when </w:t>
      </w:r>
      <w:r>
        <w:t xml:space="preserve">the thread of tradition </w:t>
      </w:r>
      <w:r w:rsidR="00864BAA">
        <w:t xml:space="preserve">is </w:t>
      </w:r>
      <w:r w:rsidR="00AF146E">
        <w:t>irreparably broken. As a result, even when tradition is lost,</w:t>
      </w:r>
      <w:r>
        <w:t xml:space="preserve"> the past is not destroyed,  “What has been lost is the continuity of the past, as it seemed to be handed down from generation to generation, developing in the process its own consistency . . ..  What you then are left with is still the past, but a </w:t>
      </w:r>
      <w:r>
        <w:rPr>
          <w:i/>
        </w:rPr>
        <w:t>fragmented</w:t>
      </w:r>
      <w:r>
        <w:t xml:space="preserve"> past, which has lost its certainty of evaluation.”</w:t>
      </w:r>
      <w:r>
        <w:rPr>
          <w:rStyle w:val="FootnoteReference"/>
        </w:rPr>
        <w:footnoteReference w:id="34"/>
      </w:r>
      <w:r>
        <w:t xml:space="preserve">  The task of the storyteller is to retrieve these bits of the past, to delve into the experiences they contain, </w:t>
      </w:r>
      <w:r w:rsidR="00FB5407">
        <w:t xml:space="preserve">and </w:t>
      </w:r>
      <w:r>
        <w:t xml:space="preserve">to </w:t>
      </w:r>
      <w:r w:rsidR="00161B90">
        <w:t xml:space="preserve">retell the story of those experiences in such a way that they help us make sense of the present; that is, to tell </w:t>
      </w:r>
      <w:r w:rsidR="00AE408F">
        <w:t>the</w:t>
      </w:r>
      <w:r w:rsidR="00161B90">
        <w:t xml:space="preserve"> story </w:t>
      </w:r>
      <w:r w:rsidR="00AE408F">
        <w:t xml:space="preserve">of the past </w:t>
      </w:r>
      <w:r w:rsidR="00161B90">
        <w:t xml:space="preserve">in such a way that </w:t>
      </w:r>
      <w:r w:rsidR="00AE408F">
        <w:t xml:space="preserve">the story of the present makes </w:t>
      </w:r>
      <w:r w:rsidR="00161B90">
        <w:t xml:space="preserve">sense. </w:t>
      </w:r>
    </w:p>
    <w:p w14:paraId="3539DCD9" w14:textId="4520B248" w:rsidR="001167B3" w:rsidRDefault="00B81264" w:rsidP="007F3E91">
      <w:pPr>
        <w:pStyle w:val="Body"/>
      </w:pPr>
      <w:r>
        <w:t xml:space="preserve">Perhaps her best description of the task of the storyteller in relationship to this </w:t>
      </w:r>
      <w:r w:rsidR="00F01B8E">
        <w:t>fragmented</w:t>
      </w:r>
      <w:r>
        <w:t xml:space="preserve"> past is </w:t>
      </w:r>
      <w:r w:rsidR="002C001B">
        <w:t xml:space="preserve">in an essay on Walter Benjamin, some of which </w:t>
      </w:r>
      <w:r w:rsidR="00AE408F">
        <w:t xml:space="preserve">appears </w:t>
      </w:r>
      <w:r w:rsidR="002C001B">
        <w:t xml:space="preserve">in revised </w:t>
      </w:r>
      <w:r w:rsidR="00F01B8E">
        <w:t>form</w:t>
      </w:r>
      <w:r w:rsidR="002C001B">
        <w:t xml:space="preserve"> in the first part of </w:t>
      </w:r>
      <w:r w:rsidR="002C001B" w:rsidRPr="002C001B">
        <w:rPr>
          <w:i/>
        </w:rPr>
        <w:t>Life of the Mind</w:t>
      </w:r>
      <w:r w:rsidR="00F01B8E">
        <w:t>.  S</w:t>
      </w:r>
      <w:r w:rsidR="002C001B">
        <w:t xml:space="preserve">he describes </w:t>
      </w:r>
      <w:r w:rsidR="00F01B8E">
        <w:t xml:space="preserve">Benjamin as a </w:t>
      </w:r>
      <w:proofErr w:type="spellStart"/>
      <w:r w:rsidR="002C001B">
        <w:t>flaneur</w:t>
      </w:r>
      <w:proofErr w:type="spellEnd"/>
      <w:r w:rsidR="002C001B">
        <w:t>—“aimlessly strolling” through a crowd and noticing the small details that are lost in hurried purposeful activity—and a collector, “strolling through the treasures of the past</w:t>
      </w:r>
      <w:r w:rsidR="00972D0C">
        <w:t>,” gathering</w:t>
      </w:r>
      <w:r w:rsidR="008D4D84">
        <w:t xml:space="preserve"> </w:t>
      </w:r>
      <w:r w:rsidR="00B77DCF">
        <w:t xml:space="preserve">its </w:t>
      </w:r>
      <w:r w:rsidR="008D4D84">
        <w:t>“scraps and fragments.”</w:t>
      </w:r>
      <w:r w:rsidR="008D4D84">
        <w:rPr>
          <w:rStyle w:val="FootnoteReference"/>
        </w:rPr>
        <w:footnoteReference w:id="35"/>
      </w:r>
      <w:r w:rsidR="00972D0C">
        <w:t xml:space="preserve"> </w:t>
      </w:r>
      <w:r w:rsidR="00B77DCF">
        <w:t xml:space="preserve"> She then compares this act of collecting to that of a pearl diver, quoting from Shakespeare’s </w:t>
      </w:r>
      <w:r w:rsidR="00B77DCF" w:rsidRPr="00A5222F">
        <w:rPr>
          <w:i/>
        </w:rPr>
        <w:t>The Tempest</w:t>
      </w:r>
      <w:r w:rsidR="00B77DCF">
        <w:t>:</w:t>
      </w:r>
    </w:p>
    <w:p w14:paraId="1EB72082" w14:textId="77777777" w:rsidR="00B77DCF" w:rsidRDefault="00B77DCF" w:rsidP="00A17A3F">
      <w:pPr>
        <w:pStyle w:val="Quotation"/>
      </w:pPr>
      <w:r>
        <w:tab/>
        <w:t>Full fathom five thy father lies,</w:t>
      </w:r>
    </w:p>
    <w:p w14:paraId="7266EB8C" w14:textId="77777777" w:rsidR="00B77DCF" w:rsidRDefault="00B77DCF" w:rsidP="00A17A3F">
      <w:pPr>
        <w:pStyle w:val="Quotation"/>
      </w:pPr>
      <w:r>
        <w:tab/>
      </w:r>
      <w:r>
        <w:tab/>
        <w:t>Of his bones are coral made,</w:t>
      </w:r>
    </w:p>
    <w:p w14:paraId="71674F45" w14:textId="77777777" w:rsidR="00B77DCF" w:rsidRDefault="00B77DCF" w:rsidP="00A17A3F">
      <w:pPr>
        <w:pStyle w:val="Quotation"/>
      </w:pPr>
      <w:r>
        <w:tab/>
      </w:r>
      <w:proofErr w:type="gramStart"/>
      <w:r>
        <w:t>Those pearls that were his eyes.</w:t>
      </w:r>
      <w:proofErr w:type="gramEnd"/>
    </w:p>
    <w:p w14:paraId="2358FC2F" w14:textId="77777777" w:rsidR="00B77DCF" w:rsidRDefault="00B77DCF" w:rsidP="00A17A3F">
      <w:pPr>
        <w:pStyle w:val="Quotation"/>
      </w:pPr>
      <w:r>
        <w:tab/>
      </w:r>
      <w:r>
        <w:tab/>
        <w:t>Nothing of him that doth fade</w:t>
      </w:r>
    </w:p>
    <w:p w14:paraId="27CF6321" w14:textId="77777777" w:rsidR="00B77DCF" w:rsidRDefault="00B77DCF" w:rsidP="00A17A3F">
      <w:pPr>
        <w:pStyle w:val="Quotation"/>
      </w:pPr>
      <w:r>
        <w:tab/>
        <w:t>But doth suffer a sea change</w:t>
      </w:r>
    </w:p>
    <w:p w14:paraId="5A1AAA79" w14:textId="77777777" w:rsidR="00B77DCF" w:rsidRDefault="00B77DCF" w:rsidP="00A17A3F">
      <w:pPr>
        <w:pStyle w:val="Quotation"/>
      </w:pPr>
      <w:r>
        <w:tab/>
      </w:r>
      <w:r>
        <w:tab/>
      </w:r>
      <w:proofErr w:type="gramStart"/>
      <w:r>
        <w:t>Into something rich and strange.</w:t>
      </w:r>
      <w:proofErr w:type="gramEnd"/>
    </w:p>
    <w:p w14:paraId="4C0ADAB8" w14:textId="77777777" w:rsidR="00B77DCF" w:rsidRDefault="00B77DCF" w:rsidP="00A17A3F">
      <w:pPr>
        <w:pStyle w:val="Quotation"/>
      </w:pPr>
      <w:r>
        <w:tab/>
      </w:r>
      <w:r>
        <w:tab/>
      </w:r>
      <w:r>
        <w:tab/>
        <w:t>Act I, Scene 2</w:t>
      </w:r>
    </w:p>
    <w:p w14:paraId="15764FA2" w14:textId="77777777" w:rsidR="00B77DCF" w:rsidRDefault="00B77DCF" w:rsidP="00AC78F0">
      <w:pPr>
        <w:pStyle w:val="Bullet"/>
        <w:numPr>
          <w:ilvl w:val="0"/>
          <w:numId w:val="0"/>
        </w:numPr>
      </w:pPr>
    </w:p>
    <w:p w14:paraId="5E5F23CD" w14:textId="374AC628" w:rsidR="000D029B" w:rsidRDefault="00B77DCF" w:rsidP="007F3E91">
      <w:pPr>
        <w:pStyle w:val="Body"/>
      </w:pPr>
      <w:r>
        <w:t xml:space="preserve">The </w:t>
      </w:r>
      <w:r w:rsidR="0024642E">
        <w:t>fragmented past</w:t>
      </w:r>
      <w:r w:rsidR="00A17A3F">
        <w:t>,</w:t>
      </w:r>
      <w:r w:rsidR="0024642E">
        <w:t xml:space="preserve"> strewn across the floor of the ocean</w:t>
      </w:r>
      <w:r w:rsidR="00BF6E5C">
        <w:t>,</w:t>
      </w:r>
      <w:r w:rsidR="0024642E">
        <w:t xml:space="preserve"> may </w:t>
      </w:r>
      <w:r w:rsidR="0024642E" w:rsidRPr="0024642E">
        <w:t>look</w:t>
      </w:r>
      <w:r w:rsidR="00BF6E5C">
        <w:t xml:space="preserve"> </w:t>
      </w:r>
      <w:r w:rsidR="0024642E">
        <w:t xml:space="preserve">“like a field of ruin,” hardly valuable, but </w:t>
      </w:r>
      <w:r w:rsidR="00410EF7">
        <w:t>there are treasures to be found</w:t>
      </w:r>
      <w:r w:rsidR="00BF6E5C">
        <w:t xml:space="preserve">, pearls of crystalized experience contained in these thought things. </w:t>
      </w:r>
      <w:r>
        <w:t>The task of the pearl diver is</w:t>
      </w:r>
      <w:r w:rsidR="00F93CDA">
        <w:t xml:space="preserve"> to dive deep into the ocean to </w:t>
      </w:r>
      <w:r w:rsidR="00323544">
        <w:t xml:space="preserve"> “pry loose the rich and the strange, the pearls and the coral in the depths a</w:t>
      </w:r>
      <w:r w:rsidR="00F93CDA">
        <w:t>nd to carry them to the surface</w:t>
      </w:r>
      <w:r w:rsidR="00BF6E5C">
        <w:t>.</w:t>
      </w:r>
      <w:r w:rsidR="00F93CDA">
        <w:t>”</w:t>
      </w:r>
      <w:r w:rsidR="00323544">
        <w:t xml:space="preserve"> </w:t>
      </w:r>
      <w:r w:rsidR="00BF6E5C">
        <w:t xml:space="preserve">This must be done with care, so as not to destroy what is valuable, and one must </w:t>
      </w:r>
      <w:r w:rsidR="000D029B">
        <w:t>“plumb the depths of language and thought” by drilling, not excavating, “so as not to ruin everything with explanations that seek to provide counsel or systematic connection.”</w:t>
      </w:r>
      <w:r w:rsidR="000D029B">
        <w:rPr>
          <w:rStyle w:val="FootnoteReference"/>
        </w:rPr>
        <w:footnoteReference w:id="36"/>
      </w:r>
      <w:r w:rsidR="000D029B">
        <w:rPr>
          <w:b/>
        </w:rPr>
        <w:t xml:space="preserve"> </w:t>
      </w:r>
      <w:r w:rsidR="00BF6E5C">
        <w:t xml:space="preserve">The task is </w:t>
      </w:r>
      <w:r w:rsidR="000D029B">
        <w:t xml:space="preserve">“to obtain the essential in the form of quotations as one obtains water by drilling for it from a source concerned in the depths of the earth” </w:t>
      </w:r>
      <w:r w:rsidR="00BF6E5C">
        <w:t xml:space="preserve">thus uncovering the </w:t>
      </w:r>
      <w:r w:rsidR="000D029B">
        <w:t xml:space="preserve"> “spiritual essences from a past that have suffered the Shakespearean “sea-change” from living eyes to pearls, from living bones to choral.”</w:t>
      </w:r>
      <w:r w:rsidR="000D029B">
        <w:rPr>
          <w:rStyle w:val="FootnoteReference"/>
        </w:rPr>
        <w:footnoteReference w:id="37"/>
      </w:r>
    </w:p>
    <w:p w14:paraId="5C6AE6F1" w14:textId="09D57A48" w:rsidR="006F1B6B" w:rsidRDefault="000D029B" w:rsidP="007F3E91">
      <w:pPr>
        <w:pStyle w:val="Body"/>
      </w:pPr>
      <w:r>
        <w:t xml:space="preserve">Arendt </w:t>
      </w:r>
      <w:r w:rsidR="00BF6E5C">
        <w:t xml:space="preserve">was </w:t>
      </w:r>
      <w:r>
        <w:t xml:space="preserve">careful to say that the goal is not to somehow resurrect the tradition.  </w:t>
      </w:r>
      <w:r w:rsidR="00BF6E5C">
        <w:t xml:space="preserve">The collector does not put the past in order, because unlike the tradition, </w:t>
      </w:r>
      <w:r>
        <w:t>the collector is unsystematic, even chaotic “tearing fragments out of their context and arranging them afresh in such a way that they illustrated one another.”</w:t>
      </w:r>
      <w:r>
        <w:rPr>
          <w:rStyle w:val="FootnoteReference"/>
        </w:rPr>
        <w:footnoteReference w:id="38"/>
      </w:r>
      <w:r w:rsidR="00C12ED1" w:rsidRPr="00C12ED1">
        <w:t xml:space="preserve"> </w:t>
      </w:r>
      <w:r w:rsidR="006E09C8">
        <w:t>In this way, th</w:t>
      </w:r>
      <w:r w:rsidR="003510FC">
        <w:t>e collector is first a destroyer</w:t>
      </w:r>
      <w:r w:rsidR="006E09C8">
        <w:t xml:space="preserve">, tearing apart what exists so that it can be rearranged into something new.  Because the tradition is already destroyed, so that all that remains is the act of </w:t>
      </w:r>
      <w:r w:rsidR="003510FC">
        <w:t xml:space="preserve">piecing </w:t>
      </w:r>
      <w:r w:rsidR="006E09C8">
        <w:t>the bits back together in new ways, not as an act of resuscitation, “</w:t>
      </w:r>
      <w:r w:rsidR="00F93CDA">
        <w:t>but rather in the belief that in these survive in crystalline form something that can illumin</w:t>
      </w:r>
      <w:r w:rsidR="00963888">
        <w:t>e our experience in the present</w:t>
      </w:r>
      <w:r w:rsidR="00F93CDA">
        <w:t>”</w:t>
      </w:r>
      <w:r w:rsidR="00963888">
        <w:t xml:space="preserve"> as well as challenge all of our preconceived notions, forcing us to see the world in a different way. </w:t>
      </w:r>
      <w:r w:rsidR="006E09C8">
        <w:t>The breach in tradition certainly presents serious risks, but there are also opportunities, because “implicit in it is the great chance to look upon the past with eyes unrestricted by any tradition, with a directness which has disappeared from Occidental reading and hearing since Roman Civilization submitted to the authority of Greek thought.”</w:t>
      </w:r>
      <w:r w:rsidR="006E09C8">
        <w:rPr>
          <w:rStyle w:val="FootnoteReference"/>
        </w:rPr>
        <w:footnoteReference w:id="39"/>
      </w:r>
      <w:r w:rsidR="006E09C8">
        <w:t xml:space="preserve"> What </w:t>
      </w:r>
      <w:r w:rsidR="001167B3">
        <w:t xml:space="preserve">Benjamin </w:t>
      </w:r>
      <w:r w:rsidR="00963888">
        <w:t xml:space="preserve">had </w:t>
      </w:r>
      <w:r w:rsidR="001167B3">
        <w:t xml:space="preserve">“discovered that the transmissibility of the past had been replaced by its </w:t>
      </w:r>
      <w:proofErr w:type="spellStart"/>
      <w:r w:rsidR="001167B3">
        <w:t>citability</w:t>
      </w:r>
      <w:proofErr w:type="spellEnd"/>
      <w:r w:rsidR="001167B3">
        <w:t xml:space="preserve"> an</w:t>
      </w:r>
      <w:r w:rsidR="00C12ED1">
        <w:t>d</w:t>
      </w:r>
      <w:r w:rsidR="001167B3">
        <w:t xml:space="preserve"> that in place of its authority there had arisen a strange power to settle down, piecemeal, in the present and to deprive it of “peace of mind,” the mindless peace of compl</w:t>
      </w:r>
      <w:r w:rsidR="00E0092C">
        <w:t>acency.”</w:t>
      </w:r>
      <w:r w:rsidR="00E0092C">
        <w:rPr>
          <w:rStyle w:val="FootnoteReference"/>
        </w:rPr>
        <w:footnoteReference w:id="40"/>
      </w:r>
      <w:r w:rsidR="001167B3">
        <w:t xml:space="preserve">  </w:t>
      </w:r>
    </w:p>
    <w:p w14:paraId="2E1CF4D5" w14:textId="4A4EBB7D" w:rsidR="00851BC8" w:rsidRDefault="006F1B6B" w:rsidP="007F3E91">
      <w:pPr>
        <w:pStyle w:val="Body"/>
      </w:pPr>
      <w:r>
        <w:t xml:space="preserve">Arendt </w:t>
      </w:r>
      <w:proofErr w:type="gramStart"/>
      <w:r>
        <w:t>viewed</w:t>
      </w:r>
      <w:proofErr w:type="gramEnd"/>
      <w:r>
        <w:t xml:space="preserve"> s</w:t>
      </w:r>
      <w:r w:rsidR="00021B24">
        <w:t xml:space="preserve">torytelling </w:t>
      </w:r>
      <w:r>
        <w:t xml:space="preserve">as </w:t>
      </w:r>
      <w:r w:rsidR="002F1832">
        <w:t xml:space="preserve">a form of understanding that was able to address the unexpected, because it </w:t>
      </w:r>
      <w:r w:rsidR="00744C1E">
        <w:t>neither</w:t>
      </w:r>
      <w:r w:rsidR="00333D48">
        <w:t xml:space="preserve"> </w:t>
      </w:r>
      <w:r w:rsidR="00744C1E">
        <w:t>relies</w:t>
      </w:r>
      <w:r w:rsidR="00333D48">
        <w:t xml:space="preserve"> on a pre-articulated framework, nor does it close off alternatives.  On the contrary, stories engage</w:t>
      </w:r>
      <w:r w:rsidR="00021B24">
        <w:t xml:space="preserve"> listeners (or readers) in a different kind of critical thinking</w:t>
      </w:r>
      <w:r w:rsidR="00333D48">
        <w:t xml:space="preserve">, </w:t>
      </w:r>
      <w:r w:rsidR="007940D6">
        <w:t>because stories both judge and invite</w:t>
      </w:r>
      <w:r w:rsidR="00333D48">
        <w:t xml:space="preserve"> judgment. </w:t>
      </w:r>
      <w:r w:rsidR="007940D6">
        <w:t xml:space="preserve"> Stories challenge theory by reminding us that all theory begins in experience, and by </w:t>
      </w:r>
      <w:r w:rsidR="008E6003">
        <w:t>expecting</w:t>
      </w:r>
      <w:r w:rsidR="007940D6">
        <w:t xml:space="preserve"> that </w:t>
      </w:r>
      <w:r w:rsidR="008E6003">
        <w:t xml:space="preserve">theory will continue to </w:t>
      </w:r>
      <w:r w:rsidR="007940D6">
        <w:t xml:space="preserve">be accountable to experience. </w:t>
      </w:r>
      <w:r w:rsidR="008E6003">
        <w:t>Stories challenge our preconceived ideas, and promote genuine thinking, because a</w:t>
      </w:r>
      <w:r w:rsidR="005554AE">
        <w:t xml:space="preserve"> </w:t>
      </w:r>
      <w:r w:rsidR="005554AE" w:rsidRPr="00B05B05">
        <w:t xml:space="preserve">well-crafted story </w:t>
      </w:r>
      <w:r w:rsidR="005554AE">
        <w:t xml:space="preserve">can change the way that we see the world </w:t>
      </w:r>
      <w:r w:rsidR="005554AE" w:rsidRPr="00B05B05">
        <w:t>and can reveal assumptions buried</w:t>
      </w:r>
      <w:r w:rsidR="005554AE">
        <w:t xml:space="preserve"> </w:t>
      </w:r>
      <w:r w:rsidR="008E6003">
        <w:t xml:space="preserve">in seemingly neutral arguments.  For these reasons, </w:t>
      </w:r>
      <w:r w:rsidR="005554AE">
        <w:t>s</w:t>
      </w:r>
      <w:r w:rsidR="005554AE" w:rsidRPr="00B05B05">
        <w:t>torytelling invites critical engagement</w:t>
      </w:r>
      <w:r w:rsidR="005554AE">
        <w:t xml:space="preserve"> </w:t>
      </w:r>
      <w:r w:rsidR="005554AE" w:rsidRPr="00B05B05">
        <w:t xml:space="preserve">in a way that </w:t>
      </w:r>
      <w:r w:rsidR="008E6003">
        <w:t xml:space="preserve">a </w:t>
      </w:r>
      <w:r w:rsidR="005554AE" w:rsidRPr="00B05B05">
        <w:t>disconnected, abst</w:t>
      </w:r>
      <w:r w:rsidR="005554AE">
        <w:t>ract voice cannot</w:t>
      </w:r>
      <w:r w:rsidR="008E6003">
        <w:t>,</w:t>
      </w:r>
      <w:r w:rsidR="005554AE">
        <w:rPr>
          <w:rStyle w:val="FootnoteReference"/>
        </w:rPr>
        <w:footnoteReference w:id="41"/>
      </w:r>
      <w:r w:rsidR="005554AE">
        <w:t xml:space="preserve"> </w:t>
      </w:r>
      <w:r w:rsidR="008E6003">
        <w:t>and t</w:t>
      </w:r>
      <w:r w:rsidR="00333D48">
        <w:t>here were numerous occasions when Arendt countered dogmatic confidence in science by relying on stories that provided a skeptical alternative</w:t>
      </w:r>
      <w:r w:rsidR="00CB1C16">
        <w:t>.</w:t>
      </w:r>
      <w:r w:rsidR="002571E0">
        <w:rPr>
          <w:rStyle w:val="FootnoteReference"/>
        </w:rPr>
        <w:footnoteReference w:id="42"/>
      </w:r>
      <w:r w:rsidR="00CB1C16">
        <w:t xml:space="preserve"> </w:t>
      </w:r>
      <w:r w:rsidR="007940D6">
        <w:t>Ultimately, storytelling provided a more object</w:t>
      </w:r>
      <w:r w:rsidR="003510FC">
        <w:t>ive understanding than theory—a</w:t>
      </w:r>
      <w:r w:rsidR="007940D6">
        <w:t xml:space="preserve"> </w:t>
      </w:r>
      <w:r w:rsidR="008E6003">
        <w:t xml:space="preserve">view </w:t>
      </w:r>
      <w:r w:rsidR="007940D6">
        <w:t xml:space="preserve">that flies in the face of Western bias towards conceptual thought as an antidote to biased, subjective stories.  But, </w:t>
      </w:r>
      <w:r w:rsidR="008E6003">
        <w:t xml:space="preserve">storytelling is objective because, </w:t>
      </w:r>
      <w:r w:rsidR="007940D6">
        <w:t xml:space="preserve">unlike conceptual thought, </w:t>
      </w:r>
      <w:r w:rsidR="008E6003">
        <w:t xml:space="preserve">it is capable of approaching the </w:t>
      </w:r>
      <w:r w:rsidR="007940D6">
        <w:t xml:space="preserve">world from multiple perspectives, </w:t>
      </w:r>
      <w:r w:rsidR="008E6003">
        <w:t>and always allows</w:t>
      </w:r>
      <w:r w:rsidR="007940D6">
        <w:t xml:space="preserve"> </w:t>
      </w:r>
      <w:r w:rsidR="008E6003">
        <w:t>room for more.</w:t>
      </w:r>
    </w:p>
    <w:p w14:paraId="27E953A4" w14:textId="77777777" w:rsidR="00851BC8" w:rsidRDefault="00851BC8" w:rsidP="007F3E91">
      <w:pPr>
        <w:pStyle w:val="Body"/>
      </w:pPr>
    </w:p>
    <w:p w14:paraId="23C6D6F6" w14:textId="697051B5" w:rsidR="00BA4464" w:rsidRDefault="00851BC8" w:rsidP="007F3E91">
      <w:pPr>
        <w:pStyle w:val="Body"/>
      </w:pPr>
      <w:r>
        <w:t xml:space="preserve">For several years now, I have been relying on the work of Hannah Arendt for insights into how to rethink the relationship between religion and science in a way that opens the door for a more substantive role for religious truth claims, an understanding of the relationship that is more than natural theology or ethics in which science provides discoveries, and theologians respond accordingly.  </w:t>
      </w:r>
      <w:r w:rsidR="00B94B30">
        <w:t xml:space="preserve">But I think that Arendt provides a different way to “do” theology, one that critically engages culture.  In this approach, one </w:t>
      </w:r>
      <w:r w:rsidR="00BA4464">
        <w:t>of the tasks of</w:t>
      </w:r>
      <w:r w:rsidR="001B5031">
        <w:t xml:space="preserve"> theology</w:t>
      </w:r>
      <w:r w:rsidR="00BA4464">
        <w:t xml:space="preserve">, and of </w:t>
      </w:r>
      <w:r w:rsidR="001B5031">
        <w:t>religion</w:t>
      </w:r>
      <w:r w:rsidR="00BA4464">
        <w:t xml:space="preserve">, is to critically </w:t>
      </w:r>
      <w:r w:rsidR="003510FC">
        <w:t>engage</w:t>
      </w:r>
      <w:r w:rsidR="001B5031">
        <w:t xml:space="preserve"> science and technology by</w:t>
      </w:r>
      <w:r w:rsidR="00BA4464">
        <w:t xml:space="preserve"> diving into the past—our stories, myths, art, poetry, concepts—to </w:t>
      </w:r>
      <w:r>
        <w:t xml:space="preserve">judge them in light of the insights contained within them. </w:t>
      </w:r>
      <w:r w:rsidR="00310FEF">
        <w:t xml:space="preserve">In the next section, I will engage in a little methodological exploration of what this kind of an approach might look like.  </w:t>
      </w:r>
    </w:p>
    <w:p w14:paraId="2EB8400F" w14:textId="77777777" w:rsidR="00BA4464" w:rsidRDefault="00BA4464" w:rsidP="00BA4464">
      <w:pPr>
        <w:pStyle w:val="Bullet2"/>
        <w:numPr>
          <w:ilvl w:val="0"/>
          <w:numId w:val="0"/>
        </w:numPr>
        <w:ind w:left="1080"/>
      </w:pPr>
    </w:p>
    <w:p w14:paraId="506DABAB" w14:textId="50DA80F1" w:rsidR="001C735B" w:rsidRPr="000B2245" w:rsidRDefault="004E756B" w:rsidP="001C735B">
      <w:pPr>
        <w:pStyle w:val="Heading1"/>
      </w:pPr>
      <w:r>
        <w:t>Pearl Diving</w:t>
      </w:r>
    </w:p>
    <w:p w14:paraId="1A5F8CAD" w14:textId="3B9DA42A" w:rsidR="001C735B" w:rsidRPr="0094283C" w:rsidRDefault="001C735B" w:rsidP="007F3E91">
      <w:pPr>
        <w:pStyle w:val="Body"/>
      </w:pPr>
      <w:r>
        <w:t xml:space="preserve">The </w:t>
      </w:r>
      <w:r w:rsidRPr="0094283C">
        <w:rPr>
          <w:i/>
        </w:rPr>
        <w:t xml:space="preserve">Epic of </w:t>
      </w:r>
      <w:proofErr w:type="spellStart"/>
      <w:r w:rsidRPr="0094283C">
        <w:rPr>
          <w:i/>
        </w:rPr>
        <w:t>Gligamesh</w:t>
      </w:r>
      <w:proofErr w:type="spellEnd"/>
      <w:r>
        <w:t xml:space="preserve"> is cer</w:t>
      </w:r>
      <w:r w:rsidR="005A735A">
        <w:t>tainly a pearl of great price. T</w:t>
      </w:r>
      <w:r>
        <w:t xml:space="preserve">he oldest literature in the world, this series of </w:t>
      </w:r>
      <w:r w:rsidR="00077111">
        <w:t>tales</w:t>
      </w:r>
      <w:r>
        <w:t xml:space="preserve"> touches upon </w:t>
      </w:r>
      <w:r w:rsidR="00142DD5">
        <w:t xml:space="preserve">numerous themes, including </w:t>
      </w:r>
      <w:r>
        <w:t xml:space="preserve">the dangers of the quest for wisdom, the distinction between </w:t>
      </w:r>
      <w:r w:rsidR="00142DD5">
        <w:t>triumph</w:t>
      </w:r>
      <w:r>
        <w:t xml:space="preserve"> and recklessness</w:t>
      </w:r>
      <w:r w:rsidR="00142DD5">
        <w:t xml:space="preserve">, </w:t>
      </w:r>
      <w:r w:rsidR="00077111">
        <w:t>two</w:t>
      </w:r>
      <w:r>
        <w:t xml:space="preserve"> important insights </w:t>
      </w:r>
      <w:r w:rsidR="00077111">
        <w:t>w</w:t>
      </w:r>
      <w:r>
        <w:t>hen trying to judge science</w:t>
      </w:r>
      <w:r w:rsidR="00142DD5">
        <w:t xml:space="preserve"> and technology.  But </w:t>
      </w:r>
      <w:r>
        <w:t xml:space="preserve">perhaps its dominant theme is the desire that </w:t>
      </w:r>
      <w:r w:rsidR="00142DD5">
        <w:t xml:space="preserve">Arendt identifies at the heart of the modern psyche, and that is </w:t>
      </w:r>
      <w:r>
        <w:t xml:space="preserve">the </w:t>
      </w:r>
      <w:r w:rsidR="00142DD5">
        <w:t>quest</w:t>
      </w:r>
      <w:r>
        <w:t xml:space="preserve"> to escape human existence as it is given to us and to exchange it for something that we have made ourselves, something that we </w:t>
      </w:r>
      <w:r w:rsidR="00142DD5">
        <w:t xml:space="preserve">alone are responsible for, and something that we can </w:t>
      </w:r>
      <w:r>
        <w:t>control.</w:t>
      </w:r>
    </w:p>
    <w:p w14:paraId="5EA47C3F" w14:textId="1491B492" w:rsidR="001C735B" w:rsidRDefault="00F445B1" w:rsidP="007F3E91">
      <w:pPr>
        <w:pStyle w:val="Body"/>
      </w:pPr>
      <w:r>
        <w:t xml:space="preserve">According to the account, </w:t>
      </w:r>
      <w:proofErr w:type="spellStart"/>
      <w:r>
        <w:t>Gligamesh</w:t>
      </w:r>
      <w:proofErr w:type="spellEnd"/>
      <w:r>
        <w:t xml:space="preserve"> was king to the great city, </w:t>
      </w:r>
      <w:proofErr w:type="spellStart"/>
      <w:r>
        <w:t>Uruk</w:t>
      </w:r>
      <w:proofErr w:type="spellEnd"/>
      <w:r>
        <w:t xml:space="preserve">.  He was strong, healthy, accomplished, with </w:t>
      </w:r>
      <w:r w:rsidR="00B63F09">
        <w:t xml:space="preserve">almost unlimited </w:t>
      </w:r>
      <w:r>
        <w:t xml:space="preserve">power and </w:t>
      </w:r>
      <w:r w:rsidR="00B63F09">
        <w:t>privilege</w:t>
      </w:r>
      <w:r>
        <w:t xml:space="preserve">, and the </w:t>
      </w:r>
      <w:r w:rsidR="00B63F09">
        <w:t xml:space="preserve">loyal </w:t>
      </w:r>
      <w:r>
        <w:t>companionshi</w:t>
      </w:r>
      <w:r w:rsidR="00B63F09">
        <w:t xml:space="preserve">p of </w:t>
      </w:r>
      <w:r w:rsidR="00E277ED">
        <w:t>a</w:t>
      </w:r>
      <w:r w:rsidR="00B63F09">
        <w:t xml:space="preserve"> beloved </w:t>
      </w:r>
      <w:r w:rsidR="00E277ED">
        <w:t xml:space="preserve">friend, </w:t>
      </w:r>
      <w:proofErr w:type="spellStart"/>
      <w:r w:rsidR="00B63F09">
        <w:t>Enkidu</w:t>
      </w:r>
      <w:proofErr w:type="spellEnd"/>
      <w:r w:rsidR="00B63F09">
        <w:t xml:space="preserve">. </w:t>
      </w:r>
      <w:r w:rsidR="005A735A">
        <w:t xml:space="preserve">Despite all this, he was not satisfied, and one day he announces that </w:t>
      </w:r>
      <w:r w:rsidR="00F8036E">
        <w:t>he is</w:t>
      </w:r>
      <w:r w:rsidR="00B63F09">
        <w:t xml:space="preserve"> determined to</w:t>
      </w:r>
      <w:r w:rsidR="005A735A">
        <w:t xml:space="preserve"> set </w:t>
      </w:r>
      <w:r w:rsidR="001C735B">
        <w:t xml:space="preserve">off on a great journey to </w:t>
      </w:r>
      <w:r w:rsidR="00F8036E">
        <w:t xml:space="preserve">fell the Cedar Trees and kill </w:t>
      </w:r>
      <w:proofErr w:type="spellStart"/>
      <w:r w:rsidR="00F8036E">
        <w:t>Hu</w:t>
      </w:r>
      <w:r w:rsidR="001C735B">
        <w:t>mbaba</w:t>
      </w:r>
      <w:proofErr w:type="spellEnd"/>
      <w:r w:rsidR="001C735B">
        <w:t xml:space="preserve">, the guardian of the forest. </w:t>
      </w:r>
      <w:r>
        <w:t xml:space="preserve">The text is not clear </w:t>
      </w:r>
      <w:r w:rsidR="001C735B">
        <w:t xml:space="preserve">what </w:t>
      </w:r>
      <w:r w:rsidR="00D80EE1">
        <w:t>drives him—</w:t>
      </w:r>
      <w:proofErr w:type="spellStart"/>
      <w:r w:rsidR="001C735B">
        <w:t>Humbaba</w:t>
      </w:r>
      <w:proofErr w:type="spellEnd"/>
      <w:r w:rsidR="001C735B">
        <w:t xml:space="preserve"> is not a threat</w:t>
      </w:r>
      <w:r w:rsidR="00D80EE1">
        <w:t xml:space="preserve"> and Gilgamesh has all he could ever want—although there is a suggestion that </w:t>
      </w:r>
      <w:r w:rsidR="0017332F">
        <w:t>what</w:t>
      </w:r>
      <w:r w:rsidR="00D80EE1">
        <w:t xml:space="preserve"> he seeks </w:t>
      </w:r>
      <w:r w:rsidR="0017332F">
        <w:t xml:space="preserve">is </w:t>
      </w:r>
      <w:r w:rsidR="00D80EE1">
        <w:t xml:space="preserve">a challenge and the </w:t>
      </w:r>
      <w:r w:rsidR="001C735B">
        <w:t>fame that comes with great achievement</w:t>
      </w:r>
      <w:r w:rsidR="00D80EE1">
        <w:t xml:space="preserve">.  He </w:t>
      </w:r>
      <w:r w:rsidR="001C735B">
        <w:t xml:space="preserve">wants </w:t>
      </w:r>
      <w:r w:rsidR="0017332F">
        <w:t>a kind of immortality</w:t>
      </w:r>
      <w:r w:rsidR="001C735B">
        <w:t xml:space="preserve">: “Only gods live forever.  Our days are few in number, and whatever we achieve is a puff of </w:t>
      </w:r>
      <w:proofErr w:type="gramStart"/>
      <w:r w:rsidR="001C735B">
        <w:t>wind.</w:t>
      </w:r>
      <w:proofErr w:type="gramEnd"/>
      <w:r w:rsidR="001C735B">
        <w:t xml:space="preserve"> . . .   I will cut down the tree, I will kill </w:t>
      </w:r>
      <w:proofErr w:type="spellStart"/>
      <w:r w:rsidR="001C735B">
        <w:t>Humbaba</w:t>
      </w:r>
      <w:proofErr w:type="spellEnd"/>
      <w:r w:rsidR="001C735B">
        <w:t>, I will make a lasting name for myself, I will stamp my fame on men’s minds forever.”</w:t>
      </w:r>
      <w:r w:rsidR="001C735B">
        <w:rPr>
          <w:rStyle w:val="FootnoteReference"/>
        </w:rPr>
        <w:footnoteReference w:id="43"/>
      </w:r>
      <w:r w:rsidR="000512AA">
        <w:t xml:space="preserve"> H</w:t>
      </w:r>
      <w:r w:rsidR="001C735B">
        <w:t>e succeeds</w:t>
      </w:r>
      <w:r w:rsidR="000512AA">
        <w:t xml:space="preserve"> in his quest</w:t>
      </w:r>
      <w:r w:rsidR="001C735B">
        <w:t xml:space="preserve">, </w:t>
      </w:r>
      <w:r w:rsidR="000512AA">
        <w:t xml:space="preserve">and does indeed make a lasting name for himself, </w:t>
      </w:r>
      <w:r w:rsidR="00795D4C">
        <w:t>b</w:t>
      </w:r>
      <w:r w:rsidR="001C735B">
        <w:t xml:space="preserve">ut </w:t>
      </w:r>
      <w:r w:rsidR="000512AA">
        <w:t xml:space="preserve">he pays </w:t>
      </w:r>
      <w:r w:rsidR="00795D4C">
        <w:t>a high</w:t>
      </w:r>
      <w:r w:rsidR="00E14F36">
        <w:t xml:space="preserve"> </w:t>
      </w:r>
      <w:r w:rsidR="000512AA">
        <w:t xml:space="preserve">price in the death of his companion </w:t>
      </w:r>
      <w:proofErr w:type="spellStart"/>
      <w:r w:rsidR="001C735B">
        <w:t>Enkidu</w:t>
      </w:r>
      <w:proofErr w:type="spellEnd"/>
      <w:r w:rsidR="000512AA">
        <w:t xml:space="preserve">.  The </w:t>
      </w:r>
      <w:r w:rsidR="001C735B">
        <w:t xml:space="preserve">death of his beloved friend again reminds Gilgamesh of </w:t>
      </w:r>
      <w:r w:rsidR="00E14F36">
        <w:t xml:space="preserve">his mortality, and he decides that it is not enough that his name live forever, he wants to live forever.  He again wants </w:t>
      </w:r>
      <w:r w:rsidR="001C735B">
        <w:t xml:space="preserve">what the gods have </w:t>
      </w:r>
      <w:r w:rsidR="009E6E9B">
        <w:t xml:space="preserve">not given him, so </w:t>
      </w:r>
      <w:r w:rsidR="001C735B">
        <w:t>he sets out on another journey</w:t>
      </w:r>
      <w:r w:rsidR="000512AA">
        <w:t>, this time</w:t>
      </w:r>
      <w:r w:rsidR="001C735B">
        <w:t xml:space="preserve"> to learn the secret of immortality. </w:t>
      </w:r>
    </w:p>
    <w:p w14:paraId="673F6DF4" w14:textId="14FB8E62" w:rsidR="001C735B" w:rsidRDefault="000512AA" w:rsidP="007F3E91">
      <w:pPr>
        <w:pStyle w:val="Body"/>
      </w:pPr>
      <w:r>
        <w:t xml:space="preserve">Both of Gilgamesh’s journeys—the one for adventure and everlasting glory, the other for knowledge and everlasting life—are attempts to escape the life that he has been given for one that he </w:t>
      </w:r>
      <w:r w:rsidR="00965616">
        <w:t xml:space="preserve">has chosen and which he </w:t>
      </w:r>
      <w:r>
        <w:t>alone is responsible for</w:t>
      </w:r>
      <w:r w:rsidR="00965616">
        <w:t xml:space="preserve">.  The story suggests that </w:t>
      </w:r>
      <w:r>
        <w:t xml:space="preserve">pushing the boundaries—through </w:t>
      </w:r>
      <w:r w:rsidR="00965616">
        <w:t>physical and mental challenge, through adventure</w:t>
      </w:r>
      <w:r>
        <w:t xml:space="preserve">, exploration and </w:t>
      </w:r>
      <w:r w:rsidR="00965616">
        <w:t xml:space="preserve">greater </w:t>
      </w:r>
      <w:r>
        <w:t>knowledge</w:t>
      </w:r>
      <w:r w:rsidR="0072519C">
        <w:t xml:space="preserve">—are key to this exchange or transformation because these </w:t>
      </w:r>
      <w:r w:rsidR="001C735B">
        <w:t>challenges push us beyond our limits</w:t>
      </w:r>
      <w:r w:rsidR="0072519C">
        <w:t xml:space="preserve"> into new territory. Thus, </w:t>
      </w:r>
      <w:r w:rsidR="001C735B">
        <w:t>Gilgamesh is celebrated because he “journeyed beyond the distant,” “beyond exhaustion” and because “He saw the great Mystery, he knew the Hidden.”</w:t>
      </w:r>
    </w:p>
    <w:p w14:paraId="076A0728" w14:textId="5A3F30AA" w:rsidR="001C735B" w:rsidRDefault="00EB44D6" w:rsidP="007F3E91">
      <w:pPr>
        <w:pStyle w:val="Body"/>
      </w:pPr>
      <w:r>
        <w:t xml:space="preserve">The theme that human beings are transformed by a difficult journey—both by facing </w:t>
      </w:r>
      <w:r w:rsidR="001D5AFC">
        <w:t xml:space="preserve">those </w:t>
      </w:r>
      <w:r>
        <w:t xml:space="preserve">difficulties and by </w:t>
      </w:r>
      <w:r w:rsidR="001D5AFC">
        <w:t xml:space="preserve">the </w:t>
      </w:r>
      <w:r>
        <w:t>knowledge gained</w:t>
      </w:r>
      <w:r w:rsidR="001D5AFC">
        <w:t xml:space="preserve"> o</w:t>
      </w:r>
      <w:r w:rsidR="003510FC">
        <w:t>n</w:t>
      </w:r>
      <w:r w:rsidR="001D5AFC">
        <w:t xml:space="preserve"> the journey</w:t>
      </w:r>
      <w:r>
        <w:t xml:space="preserve">—is present in </w:t>
      </w:r>
      <w:r w:rsidR="003510FC">
        <w:t xml:space="preserve">the </w:t>
      </w:r>
      <w:r>
        <w:t xml:space="preserve">language of science and technology.  In terms of space travel, it </w:t>
      </w:r>
      <w:r w:rsidR="00DD34BD">
        <w:t>was</w:t>
      </w:r>
      <w:r>
        <w:t xml:space="preserve"> present </w:t>
      </w:r>
      <w:r w:rsidR="001C735B">
        <w:t>from its inception.  In March 1958, the Report of James Killian’s Science Advisory Committee specified “four factors which give importance, urgency and inevitability” to the exploration of space, the first of which was “the compelling urge of man to explore and discover, the thrust of curiosity that leads men to go where no one has gone before.”  The fourth reason was that exploration provides “new opportunities for scientific observation and experiment which will add to our knowledge and understanding of the earth, the solar system, and the universe.”  (The second and third factors are military defense and national prestige respectively.) In 1962, President John F. Kennedy proclaimed that we choose to go to the moon “not because [it] is easy, but because [it] is hard.”  The idea that the challenge itself is justification for the journey has remained a constant theme in the language of space exploration.  It expresses the belief that it is through facing and overcoming challenges that human beings achieve greatne</w:t>
      </w:r>
      <w:r w:rsidR="001D5AFC">
        <w:t xml:space="preserve">ss and “go beyond” themselves. </w:t>
      </w:r>
      <w:r w:rsidR="001C735B">
        <w:t xml:space="preserve">It is the journey—the challenge that it poses and the knowledge it provides—that provides the opportunity for human beings to </w:t>
      </w:r>
      <w:r w:rsidR="0072519C">
        <w:t>transform</w:t>
      </w:r>
      <w:r w:rsidR="001C735B">
        <w:t xml:space="preserve"> their present state of existence.</w:t>
      </w:r>
    </w:p>
    <w:p w14:paraId="09A13106" w14:textId="20FFB656" w:rsidR="001C735B" w:rsidRDefault="0072519C" w:rsidP="007F3E91">
      <w:pPr>
        <w:pStyle w:val="Body"/>
      </w:pPr>
      <w:r>
        <w:t xml:space="preserve">This language is </w:t>
      </w:r>
      <w:r w:rsidR="001D5AFC">
        <w:t xml:space="preserve">also evident </w:t>
      </w:r>
      <w:r>
        <w:t xml:space="preserve">in the </w:t>
      </w:r>
      <w:r w:rsidR="00964C91">
        <w:t>“</w:t>
      </w:r>
      <w:r w:rsidR="00964C91" w:rsidRPr="00746C56">
        <w:t>Founding Declaration of the Mars Society</w:t>
      </w:r>
      <w:r>
        <w:t>,</w:t>
      </w:r>
      <w:r w:rsidR="00964C91">
        <w:t>”</w:t>
      </w:r>
      <w:r>
        <w:t xml:space="preserve"> </w:t>
      </w:r>
      <w:r w:rsidR="00EB44D6">
        <w:t xml:space="preserve">the charter document of the Mars Society, </w:t>
      </w:r>
      <w:r w:rsidR="001D5AFC">
        <w:t xml:space="preserve">which was </w:t>
      </w:r>
      <w:r w:rsidR="00EB44D6">
        <w:t xml:space="preserve">founded in 1998. </w:t>
      </w:r>
      <w:r w:rsidR="001D5AFC">
        <w:t>This document was w</w:t>
      </w:r>
      <w:r w:rsidR="00EB44D6">
        <w:t xml:space="preserve">ritten at a time when the space program in the United States seemed to have lost its </w:t>
      </w:r>
      <w:r w:rsidR="004A20D4">
        <w:t>way;</w:t>
      </w:r>
      <w:r w:rsidR="00EB44D6">
        <w:t xml:space="preserve"> its nine short paragraphs are a ringing declaration of the reasons for human (and not just robot) exploration of Mars. </w:t>
      </w:r>
      <w:r w:rsidR="001C735B" w:rsidRPr="00A32027">
        <w:t xml:space="preserve">“We must go for the challenge,” they say, because </w:t>
      </w:r>
      <w:r w:rsidR="001C735B">
        <w:t>“Civilizations, like people, thrive on challenge and decay without it.” Young people especially need the challenge—</w:t>
      </w:r>
      <w:r w:rsidR="001C735B" w:rsidRPr="00A32027">
        <w:t>the “spirit of youth demands adventure”—</w:t>
      </w:r>
      <w:r w:rsidR="001C735B">
        <w:t xml:space="preserve">and the challenge of Mars will </w:t>
      </w:r>
      <w:r w:rsidR="003920AF">
        <w:t xml:space="preserve">enable them to </w:t>
      </w:r>
      <w:r w:rsidR="001C735B">
        <w:t xml:space="preserve">“develop their minds to participate in the pioneering of a new world.” </w:t>
      </w:r>
      <w:r w:rsidR="009C4B30">
        <w:t>The Mars Society</w:t>
      </w:r>
      <w:r w:rsidR="001C735B">
        <w:t xml:space="preserve"> proclaim</w:t>
      </w:r>
      <w:r w:rsidR="009C4B30">
        <w:t>s</w:t>
      </w:r>
      <w:r w:rsidR="001C735B">
        <w:t xml:space="preserve"> “that the exploration and settlement of Mars is one of the greatest human endeavors possible in our time,” </w:t>
      </w:r>
      <w:r w:rsidR="001C735B" w:rsidRPr="00A32027">
        <w:t>offering a cooperative challenge</w:t>
      </w:r>
      <w:r w:rsidR="00CD5E41">
        <w:t xml:space="preserve"> (as opposed to violence</w:t>
      </w:r>
      <w:proofErr w:type="gramStart"/>
      <w:r w:rsidR="00CD5E41">
        <w:t xml:space="preserve">)  </w:t>
      </w:r>
      <w:r w:rsidR="001C735B" w:rsidRPr="00A32027">
        <w:t>that</w:t>
      </w:r>
      <w:proofErr w:type="gramEnd"/>
      <w:r w:rsidR="001C735B">
        <w:t xml:space="preserve"> will allow humanity to “go beyond” the boundaries of our world.  “We must go for the future.”</w:t>
      </w:r>
    </w:p>
    <w:p w14:paraId="36D74524" w14:textId="4A4F6578" w:rsidR="00307063" w:rsidRDefault="001C735B" w:rsidP="007F3E91">
      <w:pPr>
        <w:pStyle w:val="Body"/>
      </w:pPr>
      <w:r>
        <w:t xml:space="preserve">Robert </w:t>
      </w:r>
      <w:proofErr w:type="spellStart"/>
      <w:r>
        <w:t>Zubrin</w:t>
      </w:r>
      <w:proofErr w:type="spellEnd"/>
      <w:r>
        <w:t xml:space="preserve">, one of the founders of the Mars Society, </w:t>
      </w:r>
      <w:r w:rsidR="007D1329">
        <w:t xml:space="preserve">suggests another dimension to this exchange, </w:t>
      </w:r>
      <w:r>
        <w:t>invoking the American Frontier Myth</w:t>
      </w:r>
      <w:r w:rsidR="007D1329">
        <w:t xml:space="preserve"> as a motivation for </w:t>
      </w:r>
      <w:r w:rsidR="00DB6E86">
        <w:t xml:space="preserve">colonizing Mars: </w:t>
      </w:r>
      <w:r>
        <w:t xml:space="preserve">“Are we still a nation of pioneers?” he asks, “Do we choose to make the efforts required to continue as the vanguard of human progress, a people of the future?” (xiii) </w:t>
      </w:r>
      <w:r w:rsidR="00DB6E86">
        <w:t xml:space="preserve">Later he declares, </w:t>
      </w:r>
      <w:r>
        <w:t>“The question of taking on Mars as an interplanetary goal is not simply one of aerospace accomplishment, but one of reaffirming the pioneering character of our society</w:t>
      </w:r>
      <w:r w:rsidR="00DB6E86">
        <w:t xml:space="preserve">.” (xv) President Bush echoed this theme in 2004, announcing a “new vision” for the space program.  Invoking </w:t>
      </w:r>
      <w:r>
        <w:t>the “spirit of discover</w:t>
      </w:r>
      <w:r w:rsidR="007232B7">
        <w:t>y” of explorers Lewis and Clark</w:t>
      </w:r>
      <w:r>
        <w:t xml:space="preserve"> </w:t>
      </w:r>
      <w:r w:rsidR="007232B7">
        <w:t xml:space="preserve">and </w:t>
      </w:r>
      <w:r>
        <w:t>declaring: “America has ventured forth into space for the same reasons.  We have undertaken space travel because the desire to explore and understand is part of our character.”</w:t>
      </w:r>
      <w:r w:rsidR="00307063">
        <w:t xml:space="preserve"> </w:t>
      </w:r>
      <w:r w:rsidR="006C34D5">
        <w:t>Invokin</w:t>
      </w:r>
      <w:r w:rsidR="00307063">
        <w:t xml:space="preserve">g this myth is, again, not new. </w:t>
      </w:r>
      <w:r>
        <w:t>In May of 1958 Speaker of the House John McCormack testified that: “we are beginning an era of discovery literally as far-reaching as the discovery of our own continent,” while Werner von Braun agreed that space exploration “will be comparable to the discovery of Amer</w:t>
      </w:r>
      <w:r w:rsidR="006C34D5">
        <w:t>ica.”</w:t>
      </w:r>
      <w:r w:rsidR="006C34D5">
        <w:rPr>
          <w:rStyle w:val="FootnoteReference"/>
        </w:rPr>
        <w:footnoteReference w:id="44"/>
      </w:r>
      <w:r w:rsidR="00307063">
        <w:t xml:space="preserve"> </w:t>
      </w:r>
    </w:p>
    <w:p w14:paraId="093C504C" w14:textId="18A88CB3" w:rsidR="001C735B" w:rsidRDefault="00307063" w:rsidP="007F3E91">
      <w:pPr>
        <w:pStyle w:val="Body"/>
      </w:pPr>
      <w:r>
        <w:t xml:space="preserve">The invocation of the frontier myth suggests yet another </w:t>
      </w:r>
      <w:r w:rsidR="00DC6CEC">
        <w:t>exchange</w:t>
      </w:r>
      <w:r>
        <w:t xml:space="preserve">—an old life for a new one.  It is an opportunity to recreate </w:t>
      </w:r>
      <w:proofErr w:type="gramStart"/>
      <w:r>
        <w:t>ourselves</w:t>
      </w:r>
      <w:proofErr w:type="gramEnd"/>
      <w:r>
        <w:t xml:space="preserve">, </w:t>
      </w:r>
      <w:r w:rsidR="00535018">
        <w:t>to</w:t>
      </w:r>
      <w:r>
        <w:t xml:space="preserve"> start over</w:t>
      </w:r>
      <w:r w:rsidR="00535018">
        <w:t xml:space="preserve"> and </w:t>
      </w:r>
      <w:r>
        <w:t xml:space="preserve">avoid </w:t>
      </w:r>
      <w:r w:rsidR="001C735B">
        <w:t xml:space="preserve">the mistakes of the past.  The person who best embodies this desire is John Winthrop, whose famous sermon on board the </w:t>
      </w:r>
      <w:proofErr w:type="spellStart"/>
      <w:r w:rsidR="001C735B">
        <w:rPr>
          <w:i/>
        </w:rPr>
        <w:t>Arrabella</w:t>
      </w:r>
      <w:proofErr w:type="spellEnd"/>
      <w:r w:rsidR="001C735B">
        <w:t xml:space="preserve"> in 1630 was one of the earliest articulations of what was to become a defining American myth.  God, he said, had made a covenant with the settlers.  A great deal was expected of them, but if they kept the covenant:</w:t>
      </w:r>
    </w:p>
    <w:p w14:paraId="69E116D3" w14:textId="77777777" w:rsidR="001C735B" w:rsidRDefault="001C735B" w:rsidP="00DC6CEC">
      <w:pPr>
        <w:pStyle w:val="Quotation"/>
      </w:pPr>
      <w:r w:rsidRPr="00DC6CEC">
        <w:t xml:space="preserve">The Lord will be our God and delight to dwell among us, as his </w:t>
      </w:r>
      <w:proofErr w:type="spellStart"/>
      <w:r w:rsidRPr="00DC6CEC">
        <w:t>owne</w:t>
      </w:r>
      <w:proofErr w:type="spellEnd"/>
      <w:r w:rsidRPr="00DC6CEC">
        <w:t xml:space="preserve"> people and will command a blessing </w:t>
      </w:r>
      <w:proofErr w:type="spellStart"/>
      <w:r w:rsidRPr="00DC6CEC">
        <w:t>vpon</w:t>
      </w:r>
      <w:proofErr w:type="spellEnd"/>
      <w:r w:rsidRPr="00DC6CEC">
        <w:t xml:space="preserve"> </w:t>
      </w:r>
      <w:proofErr w:type="spellStart"/>
      <w:r w:rsidRPr="00DC6CEC">
        <w:t>vs</w:t>
      </w:r>
      <w:proofErr w:type="spellEnd"/>
      <w:r w:rsidRPr="00DC6CEC">
        <w:t xml:space="preserve"> in all our </w:t>
      </w:r>
      <w:proofErr w:type="spellStart"/>
      <w:r w:rsidRPr="00DC6CEC">
        <w:t>wayes</w:t>
      </w:r>
      <w:proofErr w:type="spellEnd"/>
      <w:r w:rsidRPr="00DC6CEC">
        <w:t xml:space="preserve">, </w:t>
      </w:r>
      <w:proofErr w:type="spellStart"/>
      <w:r w:rsidRPr="00DC6CEC">
        <w:t>soe</w:t>
      </w:r>
      <w:proofErr w:type="spellEnd"/>
      <w:r w:rsidRPr="00DC6CEC">
        <w:t xml:space="preserve"> that wee shall see much more of his </w:t>
      </w:r>
      <w:proofErr w:type="spellStart"/>
      <w:r w:rsidRPr="00DC6CEC">
        <w:t>wisdome</w:t>
      </w:r>
      <w:proofErr w:type="spellEnd"/>
      <w:r w:rsidRPr="00DC6CEC">
        <w:t xml:space="preserve"> power goodness and </w:t>
      </w:r>
      <w:proofErr w:type="spellStart"/>
      <w:r w:rsidRPr="00DC6CEC">
        <w:t>truthe</w:t>
      </w:r>
      <w:proofErr w:type="spellEnd"/>
      <w:r w:rsidRPr="00DC6CEC">
        <w:t xml:space="preserve"> then formerly we have been acquainted with, wee shall </w:t>
      </w:r>
      <w:proofErr w:type="spellStart"/>
      <w:r w:rsidRPr="00DC6CEC">
        <w:t>finde</w:t>
      </w:r>
      <w:proofErr w:type="spellEnd"/>
      <w:r w:rsidRPr="00DC6CEC">
        <w:t xml:space="preserve"> that the God of </w:t>
      </w:r>
      <w:proofErr w:type="spellStart"/>
      <w:r w:rsidRPr="00DC6CEC">
        <w:t>Israell</w:t>
      </w:r>
      <w:proofErr w:type="spellEnd"/>
      <w:r w:rsidRPr="00DC6CEC">
        <w:t xml:space="preserve"> is among </w:t>
      </w:r>
      <w:proofErr w:type="spellStart"/>
      <w:r w:rsidRPr="00DC6CEC">
        <w:t>vs</w:t>
      </w:r>
      <w:proofErr w:type="spellEnd"/>
      <w:r w:rsidRPr="00DC6CEC">
        <w:t xml:space="preserve">, when </w:t>
      </w:r>
      <w:proofErr w:type="spellStart"/>
      <w:r w:rsidRPr="00DC6CEC">
        <w:t>tenn</w:t>
      </w:r>
      <w:proofErr w:type="spellEnd"/>
      <w:r w:rsidRPr="00DC6CEC">
        <w:t xml:space="preserve"> of </w:t>
      </w:r>
      <w:proofErr w:type="spellStart"/>
      <w:r w:rsidRPr="00DC6CEC">
        <w:t>vs</w:t>
      </w:r>
      <w:proofErr w:type="spellEnd"/>
      <w:r w:rsidRPr="00DC6CEC">
        <w:t xml:space="preserve"> shall be able to resist a thousand of our enemies, when </w:t>
      </w:r>
      <w:proofErr w:type="spellStart"/>
      <w:r w:rsidRPr="00DC6CEC">
        <w:t>hee</w:t>
      </w:r>
      <w:proofErr w:type="spellEnd"/>
      <w:r w:rsidRPr="00DC6CEC">
        <w:t xml:space="preserve"> shall make </w:t>
      </w:r>
      <w:proofErr w:type="spellStart"/>
      <w:r w:rsidRPr="00DC6CEC">
        <w:t>vs</w:t>
      </w:r>
      <w:proofErr w:type="spellEnd"/>
      <w:r w:rsidRPr="00DC6CEC">
        <w:t xml:space="preserve"> a </w:t>
      </w:r>
      <w:proofErr w:type="spellStart"/>
      <w:r w:rsidRPr="00DC6CEC">
        <w:t>prayse</w:t>
      </w:r>
      <w:proofErr w:type="spellEnd"/>
      <w:r w:rsidRPr="00DC6CEC">
        <w:t xml:space="preserve"> and glory, that men shall say of succeeding plantations: the lord make it like that of New England: for wee must Consider that wee shall be as a </w:t>
      </w:r>
      <w:proofErr w:type="spellStart"/>
      <w:r w:rsidRPr="00DC6CEC">
        <w:t>Citty</w:t>
      </w:r>
      <w:proofErr w:type="spellEnd"/>
      <w:r w:rsidRPr="00DC6CEC">
        <w:t xml:space="preserve"> </w:t>
      </w:r>
      <w:proofErr w:type="spellStart"/>
      <w:r w:rsidRPr="00DC6CEC">
        <w:t>vpon</w:t>
      </w:r>
      <w:proofErr w:type="spellEnd"/>
      <w:r w:rsidRPr="00DC6CEC">
        <w:t xml:space="preserve"> a Hill, the </w:t>
      </w:r>
      <w:proofErr w:type="spellStart"/>
      <w:r w:rsidRPr="00DC6CEC">
        <w:t>eies</w:t>
      </w:r>
      <w:proofErr w:type="spellEnd"/>
      <w:r w:rsidRPr="00DC6CEC">
        <w:t xml:space="preserve"> of all people are </w:t>
      </w:r>
      <w:proofErr w:type="spellStart"/>
      <w:r w:rsidRPr="00DC6CEC">
        <w:t>vpon</w:t>
      </w:r>
      <w:proofErr w:type="spellEnd"/>
      <w:r w:rsidRPr="00DC6CEC">
        <w:t xml:space="preserve"> </w:t>
      </w:r>
      <w:proofErr w:type="spellStart"/>
      <w:r w:rsidRPr="00DC6CEC">
        <w:t>vs</w:t>
      </w:r>
      <w:proofErr w:type="spellEnd"/>
      <w:r w:rsidRPr="00DC6CEC">
        <w:t xml:space="preserve"> (198-99).</w:t>
      </w:r>
    </w:p>
    <w:p w14:paraId="26D1FB86" w14:textId="77777777" w:rsidR="00DC6CEC" w:rsidRPr="00DC6CEC" w:rsidRDefault="00DC6CEC" w:rsidP="00DC6CEC">
      <w:pPr>
        <w:pStyle w:val="Quotation"/>
      </w:pPr>
    </w:p>
    <w:p w14:paraId="418E3308" w14:textId="692B587C" w:rsidR="001C735B" w:rsidRDefault="001C735B" w:rsidP="007F3E91">
      <w:pPr>
        <w:pStyle w:val="Body"/>
      </w:pPr>
      <w:r>
        <w:t>Here Winthrop articulates the belief that Christendom had gone astray, violating their covenant with God.  But the New World offered a chance to get it right</w:t>
      </w:r>
      <w:proofErr w:type="gramStart"/>
      <w:r>
        <w:t>;</w:t>
      </w:r>
      <w:proofErr w:type="gramEnd"/>
      <w:r>
        <w:t xml:space="preserve"> a chance at redemption, to literally return or be restored to a better state. This redemption is more significant because, through the redemption of a few, the world has a chance to get it right as well, because this “New Jerusalem” </w:t>
      </w:r>
      <w:r w:rsidR="0067735B">
        <w:t xml:space="preserve">would not only </w:t>
      </w:r>
      <w:r>
        <w:t>be a shini</w:t>
      </w:r>
      <w:r w:rsidR="0067735B">
        <w:t xml:space="preserve">ng example for others to follow, once they had established their utopian society, these settlers could return to England and </w:t>
      </w:r>
      <w:r w:rsidR="003B2BF1">
        <w:t xml:space="preserve">help </w:t>
      </w:r>
      <w:r w:rsidR="0067735B">
        <w:t xml:space="preserve">rebuild God’s kingdom there. </w:t>
      </w:r>
    </w:p>
    <w:p w14:paraId="03C695AE" w14:textId="075408FC" w:rsidR="001C735B" w:rsidRDefault="001C735B" w:rsidP="007F3E91">
      <w:pPr>
        <w:pStyle w:val="Body"/>
      </w:pPr>
      <w:r>
        <w:t>In a similar vein, the Mars Society proclaims: “The settling of the Martian New World is an opportunity for a noble experiment in which humanity has another chance to shed old baggage and begin the world anew; carrying forward as much of the best of our heritage as possible and leaving th</w:t>
      </w:r>
      <w:r w:rsidR="00A54DF5">
        <w:t>e worst behind.”</w:t>
      </w:r>
      <w:r>
        <w:t xml:space="preserve"> They go on: “It is a New World, filled with history waiting to be made by a new and youthful branch of human civilization that is waiting to be born.  We must go to Mars to make that potential a reality.  We must go, not for us, but for a people who are yet to be.  We must do it for the Martians.”  </w:t>
      </w:r>
      <w:r w:rsidR="00A96563">
        <w:t xml:space="preserve">Like the Americas before it, the settlement of Mars is seen as a second creation, a place to start over. </w:t>
      </w:r>
      <w:proofErr w:type="spellStart"/>
      <w:r w:rsidR="00A96563">
        <w:t>Zubrin</w:t>
      </w:r>
      <w:proofErr w:type="spellEnd"/>
      <w:r w:rsidR="00A96563">
        <w:t xml:space="preserve"> prophesied “Mars may someday provide a home for a dynamic new branch of human civilization, a new frontier, whose settlement and growth will provide an engine of progress for all humanity for generations to come.”</w:t>
      </w:r>
      <w:r w:rsidR="00A96563">
        <w:rPr>
          <w:rStyle w:val="FootnoteReference"/>
        </w:rPr>
        <w:footnoteReference w:id="45"/>
      </w:r>
      <w:r w:rsidR="00C57340">
        <w:t xml:space="preserve"> </w:t>
      </w:r>
      <w:r>
        <w:t xml:space="preserve">These few lines </w:t>
      </w:r>
      <w:r w:rsidR="00B469A6">
        <w:t xml:space="preserve">encapsulate a salvation history:  the </w:t>
      </w:r>
      <w:r>
        <w:t xml:space="preserve">journey to Mars is </w:t>
      </w:r>
      <w:r w:rsidR="00B469A6">
        <w:t xml:space="preserve">a chance to </w:t>
      </w:r>
      <w:r>
        <w:t xml:space="preserve">turn away from sin (“shed old baggage;” “leave the worst behind”), so that through our own self-sacrifice (“we must go, not for us”), humanity will be born again.  Mars is the New </w:t>
      </w:r>
      <w:proofErr w:type="gramStart"/>
      <w:r>
        <w:t>Eden,</w:t>
      </w:r>
      <w:proofErr w:type="gramEnd"/>
      <w:r>
        <w:t xml:space="preserve"> it is a promise of redemption through emigration.</w:t>
      </w:r>
      <w:r w:rsidR="00C57340">
        <w:t xml:space="preserve"> </w:t>
      </w:r>
      <w:r>
        <w:t>This will not only be redemption for the happy few who get to escape.  Aside from the practical benefits that will flow back to earth, the example of Mars—a Shining Red City on the Olympus Mons</w:t>
      </w:r>
      <w:proofErr w:type="gramStart"/>
      <w:r>
        <w:t>?—</w:t>
      </w:r>
      <w:proofErr w:type="gramEnd"/>
      <w:r>
        <w:t>will “inspire”  the youth and “serve as an example of how . . . joint action could work on earth.”</w:t>
      </w:r>
    </w:p>
    <w:p w14:paraId="7468D7E0" w14:textId="77777777" w:rsidR="001C735B" w:rsidRDefault="001C735B" w:rsidP="007F3E91">
      <w:pPr>
        <w:pStyle w:val="Body"/>
      </w:pPr>
    </w:p>
    <w:p w14:paraId="752E97E5" w14:textId="23643D8E" w:rsidR="001C735B" w:rsidRDefault="00C57340" w:rsidP="007F3E91">
      <w:pPr>
        <w:pStyle w:val="Body"/>
      </w:pPr>
      <w:r>
        <w:t xml:space="preserve">Human history is littered with stories—from Gilgamesh, to </w:t>
      </w:r>
      <w:r w:rsidR="00D2519E">
        <w:t>Homer</w:t>
      </w:r>
      <w:r>
        <w:t xml:space="preserve">, to </w:t>
      </w:r>
      <w:r w:rsidR="00D2519E">
        <w:t>J.R.R. Tolkien</w:t>
      </w:r>
      <w:r>
        <w:t xml:space="preserve">—that give testament to the experience that there is something noble and profound in struggling against impossible odds. </w:t>
      </w:r>
      <w:r w:rsidR="00D2519E">
        <w:t xml:space="preserve">In this, the </w:t>
      </w:r>
      <w:r>
        <w:t xml:space="preserve">desire to </w:t>
      </w:r>
      <w:r w:rsidR="00D2519E">
        <w:t xml:space="preserve">explore the heavens is not new.  And if the experience that it is possible to start from scratch, to begin a new life unburdened by past mistakes is somehow more recent, more particularly American, it too resonates with our experience. </w:t>
      </w:r>
      <w:r w:rsidR="001C735B">
        <w:t xml:space="preserve">If we begin to look askance at calls to surpass our own limitations and literally reach for the stars, or doubt the value of redemption, surely we risk </w:t>
      </w:r>
      <w:r w:rsidR="00D2519E">
        <w:t xml:space="preserve">rejecting an experience that has historical significance, and which can illuminate the present.  My </w:t>
      </w:r>
      <w:r w:rsidR="002F35D0">
        <w:t xml:space="preserve">concern is not with the desire to strive for something more than we already have or can do, nor is it the idea that we would exchange what we have been given—the “free gift” in Arendt’s words—for something that we have made ourselves. The issue is that the experience reflected in </w:t>
      </w:r>
      <w:r w:rsidR="00D2519E">
        <w:t>the</w:t>
      </w:r>
      <w:r w:rsidR="002F35D0">
        <w:t xml:space="preserve"> rhetoric </w:t>
      </w:r>
      <w:r w:rsidR="00D2519E">
        <w:t xml:space="preserve">of space travel </w:t>
      </w:r>
      <w:r w:rsidR="0030172F">
        <w:t xml:space="preserve">often </w:t>
      </w:r>
      <w:r w:rsidR="002F35D0">
        <w:t xml:space="preserve">lacks a sense of the tragic, </w:t>
      </w:r>
      <w:proofErr w:type="gramStart"/>
      <w:r w:rsidR="002F35D0">
        <w:t>a recognition</w:t>
      </w:r>
      <w:proofErr w:type="gramEnd"/>
      <w:r w:rsidR="002F35D0">
        <w:t xml:space="preserve"> of any distinction, or even tension, </w:t>
      </w:r>
      <w:r w:rsidR="001C735B">
        <w:t xml:space="preserve">between </w:t>
      </w:r>
      <w:r w:rsidR="002F35D0">
        <w:t xml:space="preserve">a </w:t>
      </w:r>
      <w:r w:rsidR="001C735B">
        <w:t xml:space="preserve">transcendent or ultimate perspective and the human or finite one. </w:t>
      </w:r>
      <w:r w:rsidR="002F35D0">
        <w:t xml:space="preserve">And here the Christian concept of the Imago Dei—another pearl—is helpful, because when looking at the language of exchange, it is never clear what the imago is that we are giving up, or what we are exchanging it for. </w:t>
      </w:r>
    </w:p>
    <w:p w14:paraId="17861F36" w14:textId="77777777" w:rsidR="001C735B" w:rsidRDefault="001C735B" w:rsidP="00CA182C">
      <w:pPr>
        <w:pStyle w:val="Heading1"/>
      </w:pPr>
      <w:r>
        <w:t>The Imago Dei</w:t>
      </w:r>
    </w:p>
    <w:p w14:paraId="3F261258" w14:textId="241B7449" w:rsidR="001C735B" w:rsidRDefault="00951D1B" w:rsidP="007F3E91">
      <w:pPr>
        <w:pStyle w:val="Body"/>
      </w:pPr>
      <w:r>
        <w:t xml:space="preserve">Traditionally, the concept of the Imago Dei asserted that human beings are created in the image of God. This image was distorted (or lost) in the </w:t>
      </w:r>
      <w:proofErr w:type="gramStart"/>
      <w:r>
        <w:t>Fall</w:t>
      </w:r>
      <w:proofErr w:type="gramEnd"/>
      <w:r>
        <w:t>, but remains a point of contact with the divine and, as such, expresses what is best in human being</w:t>
      </w:r>
      <w:r w:rsidR="00964C91">
        <w:t>s</w:t>
      </w:r>
      <w:r>
        <w:t xml:space="preserve">, even while asserting its limits. The Imago Dei establishes the transcendent goal towards which we should strive, even while it reminds us that all attempts are inadequate.  It sets the groundwork for redemption first by reminding us that we have somehow gone wrong, that we need redeeming, and then by describing what that redemption looks like.  </w:t>
      </w:r>
      <w:r w:rsidR="001C735B">
        <w:t xml:space="preserve">Properly understood, the Imago has an inherent tension between the infinite, the image we are created in, which remains unattainable because human beings are finite.  </w:t>
      </w:r>
      <w:r w:rsidR="00837EBC">
        <w:t xml:space="preserve">This tension between the </w:t>
      </w:r>
      <w:r w:rsidR="00964C91">
        <w:t xml:space="preserve">infinite and the </w:t>
      </w:r>
      <w:r w:rsidR="00837EBC">
        <w:t>finite gives the imago Dei a tragic dimension, because t</w:t>
      </w:r>
      <w:r w:rsidR="001C735B">
        <w:t>he tragic highlights the fundamental conflict between the ultimate perspective—in which all things form a coherent whole and there is no discord—and the finite one, in which human lives, thought and action are conflicted, contingent and partial.  The tragic remi</w:t>
      </w:r>
      <w:r w:rsidR="00FA33D7">
        <w:t xml:space="preserve">nds us that our best intentions—and our best wisdom—can </w:t>
      </w:r>
      <w:r w:rsidR="001C735B">
        <w:t>lead to horrible outcomes.</w:t>
      </w:r>
    </w:p>
    <w:p w14:paraId="34E76DD9" w14:textId="2E5EB659" w:rsidR="0038685E" w:rsidRDefault="00FE5F02" w:rsidP="007F3E91">
      <w:pPr>
        <w:pStyle w:val="Body"/>
      </w:pPr>
      <w:r>
        <w:t>The tragic tension between the ultimate an</w:t>
      </w:r>
      <w:r w:rsidR="00964C91">
        <w:t>d the finite is clearly present</w:t>
      </w:r>
      <w:r>
        <w:t xml:space="preserve"> in b</w:t>
      </w:r>
      <w:r w:rsidR="007C210A">
        <w:t>oth Gilgamesh and Winthrop</w:t>
      </w:r>
      <w:r w:rsidR="00837EBC">
        <w:t>.</w:t>
      </w:r>
      <w:r w:rsidR="007C210A">
        <w:t xml:space="preserve"> Gilgamesh suffers because of his affronts, and his attempts to learn the secrets of eternal life are all for naught.  Winthrop also expresses this tension, and the power of his vision lies in its ambiguity. On the one hand, it is a call to be a community united in purpose, living not for our own selfish interests, but for the interests of the whole. </w:t>
      </w:r>
      <w:r w:rsidR="00837EBC">
        <w:t xml:space="preserve">The idea that we should strive to live in accordance to a vision that expects us to forego our narrow, selfish desires and that we should </w:t>
      </w:r>
      <w:r w:rsidR="00964C91">
        <w:t>be</w:t>
      </w:r>
      <w:r w:rsidR="00837EBC">
        <w:t xml:space="preserve"> accountable to one another and “follow the counsel of Micah, to do justly, to love mercy, and to walk humbly with our God” is certainly </w:t>
      </w:r>
      <w:r w:rsidR="006E5935">
        <w:t>ennobling</w:t>
      </w:r>
      <w:r w:rsidR="00837EBC">
        <w:t>.</w:t>
      </w:r>
      <w:r w:rsidR="007C210A">
        <w:t xml:space="preserve"> Winthrop’s vision is compelling,</w:t>
      </w:r>
      <w:r w:rsidR="006E5935">
        <w:t xml:space="preserve"> including a commitment to education, civic duty, mutual support and the expectation that however difficult the task, we are called to live a life beyond ourselves, and to embody a high standard. </w:t>
      </w:r>
      <w:r w:rsidR="007C210A">
        <w:t xml:space="preserve"> </w:t>
      </w:r>
      <w:r w:rsidR="006E5935">
        <w:t xml:space="preserve">This vision </w:t>
      </w:r>
      <w:r w:rsidR="007C210A">
        <w:t>would lead, through twists and turns, to the United States constitution, the abolitionist movement, women’s suffrage, and</w:t>
      </w:r>
      <w:r w:rsidR="00E157B0">
        <w:t xml:space="preserve"> the Civil Rights Movement. </w:t>
      </w:r>
    </w:p>
    <w:p w14:paraId="7F773B76" w14:textId="72A8DFBA" w:rsidR="00973658" w:rsidRDefault="0038685E" w:rsidP="007F3E91">
      <w:pPr>
        <w:pStyle w:val="Body"/>
      </w:pPr>
      <w:r>
        <w:t xml:space="preserve">Unfortunately, as Robert </w:t>
      </w:r>
      <w:proofErr w:type="spellStart"/>
      <w:r>
        <w:t>Bellah</w:t>
      </w:r>
      <w:proofErr w:type="spellEnd"/>
      <w:r>
        <w:t xml:space="preserve"> reminded us, there is a dark side to Winthrop’s vision, and it also foreshadowed a history of conquest and imperialism. This dark side of </w:t>
      </w:r>
      <w:r w:rsidR="00CF2E4F">
        <w:t>Winthrop</w:t>
      </w:r>
      <w:r>
        <w:t xml:space="preserve"> comes when we ignore the tension in his vision, because Winthrop acknowledges not only that our task is difficult, and that we are called to greatness, but that we have failed in the past and we will fail in the future if we refuse to acknowledge our mistakes and to be accountable to one another.  </w:t>
      </w:r>
      <w:r w:rsidR="00E157B0">
        <w:t>Winthrop’s vision includes a call to repent</w:t>
      </w:r>
      <w:r w:rsidR="00964C91">
        <w:t>ance, and an unblinking look at</w:t>
      </w:r>
      <w:r w:rsidR="00E157B0">
        <w:t xml:space="preserve"> our failures. </w:t>
      </w:r>
      <w:r w:rsidR="00973658">
        <w:t>This dark side of Winthrop’s vision is directly related to our historical amnesia, and the inability to admit the mistakes of the past.</w:t>
      </w:r>
    </w:p>
    <w:p w14:paraId="329A95E8" w14:textId="37F0BD80" w:rsidR="001C735B" w:rsidRDefault="00973658" w:rsidP="007F3E91">
      <w:pPr>
        <w:pStyle w:val="Body"/>
      </w:pPr>
      <w:r>
        <w:t xml:space="preserve">The trick, as I tell my students, is to allow yourself to be moved by Gilgamesh’s passion and Winthrop’s vision while keeping your eyes firmly fixed on the dark consequences of </w:t>
      </w:r>
      <w:r w:rsidR="000177AF">
        <w:t>that</w:t>
      </w:r>
      <w:r>
        <w:t xml:space="preserve"> passion and that vision. </w:t>
      </w:r>
      <w:r w:rsidR="00281669">
        <w:t xml:space="preserve">New </w:t>
      </w:r>
      <w:r w:rsidR="00C61066">
        <w:t xml:space="preserve">beginnings </w:t>
      </w:r>
      <w:r w:rsidR="00D67D6D">
        <w:t>and redemption</w:t>
      </w:r>
      <w:r w:rsidR="00C61066">
        <w:t xml:space="preserve"> are </w:t>
      </w:r>
      <w:r w:rsidR="00281669">
        <w:t xml:space="preserve">simply not possible in any meaningful way without a tragic vision </w:t>
      </w:r>
      <w:r w:rsidR="001C735B">
        <w:t xml:space="preserve">which contrasts </w:t>
      </w:r>
      <w:r w:rsidR="00D67D6D">
        <w:t xml:space="preserve">human failure that is rooted in </w:t>
      </w:r>
      <w:r w:rsidR="001C735B">
        <w:t>finitude, with the ultimate possibility that</w:t>
      </w:r>
      <w:r w:rsidR="00A910A5">
        <w:t xml:space="preserve"> we might one day get it right; and </w:t>
      </w:r>
      <w:r w:rsidR="001C735B">
        <w:t xml:space="preserve">the eternal hope and real possibility that human beings </w:t>
      </w:r>
      <w:r w:rsidR="00281669">
        <w:t>can</w:t>
      </w:r>
      <w:r w:rsidR="001C735B">
        <w:t xml:space="preserve"> start over again. Attentiveness to and awareness of this tragic dimension of existence gives us a depth of vision and can even bring meaning to our suffering. Ignoring the tragic leads to a shallow vision and, well, tragedy.</w:t>
      </w:r>
    </w:p>
    <w:p w14:paraId="12770258" w14:textId="5F29C0E0" w:rsidR="001C735B" w:rsidRDefault="001C735B" w:rsidP="007F3E91">
      <w:pPr>
        <w:pStyle w:val="Body"/>
      </w:pPr>
      <w:r>
        <w:t>Unfortunately, the language of science and technology often lose sight of the difference between the ultimate and finite perspectives.  The resulting shallow vision is evidenced in two ways. The first is that the finite is treated as though it were the ultimate</w:t>
      </w:r>
      <w:r w:rsidR="0032182F">
        <w:t>, which</w:t>
      </w:r>
      <w:r w:rsidR="00973658">
        <w:t xml:space="preserve"> is why the </w:t>
      </w:r>
      <w:r>
        <w:t>vision of human greatness as technological know-how and scientific prowess</w:t>
      </w:r>
      <w:r w:rsidR="00973658">
        <w:t xml:space="preserve"> is so shallow</w:t>
      </w:r>
      <w:r>
        <w:t xml:space="preserve">.  Second, redemption is approached only from the perspective of the ultimate, as a shining </w:t>
      </w:r>
      <w:proofErr w:type="gramStart"/>
      <w:r>
        <w:t>futur</w:t>
      </w:r>
      <w:r w:rsidR="00973658">
        <w:t>e which</w:t>
      </w:r>
      <w:proofErr w:type="gramEnd"/>
      <w:r w:rsidR="00973658">
        <w:t xml:space="preserve"> we are about to achieve</w:t>
      </w:r>
      <w:r w:rsidR="0032182F">
        <w:t>, so t</w:t>
      </w:r>
      <w:r>
        <w:t xml:space="preserve">here is no acknowledgment of the old, fallen state.  Theologically, </w:t>
      </w:r>
      <w:r w:rsidR="00973658">
        <w:t xml:space="preserve">we might call this </w:t>
      </w:r>
      <w:r>
        <w:t>cheap grace or, more in the Lutheran tradition, a Theology of Glory—</w:t>
      </w:r>
      <w:r w:rsidR="00973658">
        <w:t xml:space="preserve">more </w:t>
      </w:r>
      <w:r>
        <w:t>pearl</w:t>
      </w:r>
      <w:r w:rsidR="00973658">
        <w:t>s</w:t>
      </w:r>
      <w:r>
        <w:t xml:space="preserve"> among the ruins</w:t>
      </w:r>
      <w:proofErr w:type="gramStart"/>
      <w:r>
        <w:t>!—</w:t>
      </w:r>
      <w:proofErr w:type="gramEnd"/>
      <w:r>
        <w:t xml:space="preserve">devoid of the cross.   The practical consequence is a shallow redemption, strangely lacking in any historical memory or any sense of human responsibility or power. Both of these can have tragic consequences even, as we shall see, demonic ones.  </w:t>
      </w:r>
    </w:p>
    <w:p w14:paraId="30C6B7B7" w14:textId="77777777" w:rsidR="0032182F" w:rsidRDefault="0032182F" w:rsidP="007F3E91">
      <w:pPr>
        <w:pStyle w:val="Heading2"/>
      </w:pPr>
    </w:p>
    <w:p w14:paraId="7AA19C64" w14:textId="6BB38B55" w:rsidR="001C735B" w:rsidRPr="00F8386F" w:rsidRDefault="001C735B" w:rsidP="007F3E91">
      <w:pPr>
        <w:pStyle w:val="Heading2"/>
      </w:pPr>
      <w:r w:rsidRPr="00F8386F">
        <w:t xml:space="preserve">Shallow </w:t>
      </w:r>
      <w:r w:rsidRPr="0032182F">
        <w:t>Greatness</w:t>
      </w:r>
      <w:r w:rsidRPr="00F8386F">
        <w:t xml:space="preserve"> </w:t>
      </w:r>
    </w:p>
    <w:p w14:paraId="24F9B1E6" w14:textId="5AC5E026" w:rsidR="001C735B" w:rsidRDefault="001C735B" w:rsidP="007F3E91">
      <w:pPr>
        <w:pStyle w:val="Body"/>
      </w:pPr>
      <w:r>
        <w:t xml:space="preserve">The first consequence of the loss of distinction between the ultimate and finite perspectives is that the authors treat their finite vision as though it were ultimate.  This is not unique, of course.  </w:t>
      </w:r>
      <w:r w:rsidR="00ED2BA0">
        <w:t xml:space="preserve">It has frequently been observed that the Imago Dei is more often than not a human projection that elevates and justifies a very finite conception of human personhood, and throughout history, human beings have aligned themselves with grand forces which were no more than the projection of themselves. The </w:t>
      </w:r>
      <w:r w:rsidR="00E901E1">
        <w:t>l</w:t>
      </w:r>
      <w:r w:rsidR="00ED2BA0">
        <w:t>anguage of space exploration is no different;</w:t>
      </w:r>
      <w:r w:rsidR="00E901E1">
        <w:t xml:space="preserve"> but rather than projecting our</w:t>
      </w:r>
      <w:r w:rsidR="00ED2BA0">
        <w:t xml:space="preserve">selves on to God, we project on to other forces and the elements of the divine are portrayed as attributes of human science and technology. What is key is that </w:t>
      </w:r>
      <w:r w:rsidR="00E901E1">
        <w:t>these external standards both direct</w:t>
      </w:r>
      <w:r w:rsidR="003C0E63">
        <w:t xml:space="preserve"> and control</w:t>
      </w:r>
      <w:r w:rsidR="00ED2BA0">
        <w:t xml:space="preserve"> </w:t>
      </w:r>
      <w:r w:rsidR="00E901E1">
        <w:t xml:space="preserve">human </w:t>
      </w:r>
      <w:r w:rsidR="003C0E63">
        <w:t>action;</w:t>
      </w:r>
      <w:r w:rsidR="00E901E1">
        <w:t xml:space="preserve"> it justifies them and absolves us of responsibility.  For this reason, </w:t>
      </w:r>
      <w:r>
        <w:t>these projections are not innocent.  They are instead fraught with danger because treating these finite visions as total not only renders us incapable of seeing anything other than our projections, it transforms our ideas into something greater then we are, something eternal and irresistible, like “human nature” or the “demands of history.”  Ultimately, this sacrifices human freedom and abdicat</w:t>
      </w:r>
      <w:r w:rsidR="00B01286">
        <w:t xml:space="preserve">es our responsibility to </w:t>
      </w:r>
      <w:r w:rsidR="00C04981">
        <w:t>forces that</w:t>
      </w:r>
      <w:r>
        <w:t xml:space="preserve"> we cannot control.  </w:t>
      </w:r>
    </w:p>
    <w:p w14:paraId="1A2A8AEA" w14:textId="2C639493" w:rsidR="001C735B" w:rsidRPr="00E901E1" w:rsidRDefault="001C735B" w:rsidP="007F3E91">
      <w:pPr>
        <w:pStyle w:val="Body"/>
      </w:pPr>
      <w:r>
        <w:t>When this happens, we lose all sense of the limitations of human thought and action</w:t>
      </w:r>
      <w:r w:rsidR="00E901E1">
        <w:t>, and we simultaneously feel unaccountable</w:t>
      </w:r>
      <w:r>
        <w:t xml:space="preserve">. Suddenly, “anything is possible and anything is permissible” because we perceive ourselves to be connected to, responsible for, and limited by nothing and no one other than this self-justifying, uncontrollable force.  According to Arendt, this is what happened in Western imperialism, when the process of imperialism itself—the demands of endless expansion—became more important than any particular goal and the process of endless expansion was </w:t>
      </w:r>
      <w:r w:rsidR="003C0E63">
        <w:t>self-justifying</w:t>
      </w:r>
      <w:r>
        <w:t xml:space="preserve"> and all consuming. It is also the core of the myth of capitalism</w:t>
      </w:r>
      <w:r w:rsidR="000177AF">
        <w:t xml:space="preserve"> and</w:t>
      </w:r>
      <w:r>
        <w:t xml:space="preserve">, now, the myth of science.  </w:t>
      </w:r>
      <w:r w:rsidR="00E901E1">
        <w:t xml:space="preserve">This is what happened to Gilgamesh, in seeking to create something that he alone was responsible </w:t>
      </w:r>
      <w:r w:rsidR="00E901E1">
        <w:rPr>
          <w:i/>
        </w:rPr>
        <w:t xml:space="preserve">for, </w:t>
      </w:r>
      <w:r w:rsidR="00E901E1">
        <w:t xml:space="preserve">he </w:t>
      </w:r>
      <w:proofErr w:type="gramStart"/>
      <w:r w:rsidR="00E901E1">
        <w:t>say</w:t>
      </w:r>
      <w:proofErr w:type="gramEnd"/>
      <w:r w:rsidR="00E901E1">
        <w:t xml:space="preserve"> himself as responsible </w:t>
      </w:r>
      <w:r w:rsidR="00E901E1">
        <w:rPr>
          <w:i/>
        </w:rPr>
        <w:t>to</w:t>
      </w:r>
      <w:r w:rsidR="00E901E1">
        <w:t xml:space="preserve"> no one and no thing.  </w:t>
      </w:r>
    </w:p>
    <w:p w14:paraId="7F12EF99" w14:textId="034788EC" w:rsidR="001C735B" w:rsidRDefault="00E901E1" w:rsidP="007F3E91">
      <w:pPr>
        <w:pStyle w:val="Body"/>
      </w:pPr>
      <w:r>
        <w:t xml:space="preserve">Arendt associates this experience with </w:t>
      </w:r>
      <w:r w:rsidR="001C735B">
        <w:t>the adventurer, who “lo</w:t>
      </w:r>
      <w:r w:rsidR="007B0AD7">
        <w:t>ves the game for its own sake</w:t>
      </w:r>
      <w:r w:rsidR="001C735B">
        <w:t>.</w:t>
      </w:r>
      <w:r w:rsidR="007B0AD7">
        <w:t>”</w:t>
      </w:r>
      <w:r w:rsidR="007B0AD7">
        <w:rPr>
          <w:rStyle w:val="FootnoteReference"/>
        </w:rPr>
        <w:footnoteReference w:id="46"/>
      </w:r>
      <w:r w:rsidR="001C735B">
        <w:t xml:space="preserve"> While an explorer embarks on a journey</w:t>
      </w:r>
      <w:r w:rsidR="00E211CE">
        <w:t xml:space="preserve"> to discover something</w:t>
      </w:r>
      <w:r w:rsidR="001C735B">
        <w:t>, even if that so</w:t>
      </w:r>
      <w:r w:rsidR="000177AF">
        <w:t>mething is only within herself</w:t>
      </w:r>
      <w:r w:rsidR="001C735B">
        <w:t>, an adventurer is ultimately motivated simply by the experience of pushing limits.  An adventurer may push the frontiers of knowledge, or seek to climb the next hill, but does so not to achieve knowledge or see what is on the other side</w:t>
      </w:r>
      <w:proofErr w:type="gramStart"/>
      <w:r w:rsidR="001C735B">
        <w:t>;</w:t>
      </w:r>
      <w:proofErr w:type="gramEnd"/>
      <w:r w:rsidR="001C735B">
        <w:t xml:space="preserve"> the adventurer journeys </w:t>
      </w:r>
      <w:r w:rsidR="000177AF">
        <w:t xml:space="preserve">only to see if it is possible.  </w:t>
      </w:r>
      <w:r w:rsidR="001C735B">
        <w:t>Real life adventurers, like T.E. Lawrence, believed they “had entered . . . the stream of historical necessity and become a functionary or agent of the secre</w:t>
      </w:r>
      <w:r w:rsidR="007B0AD7">
        <w:t>t forces which rule the world</w:t>
      </w:r>
      <w:r w:rsidR="001C735B">
        <w:t>.</w:t>
      </w:r>
      <w:r w:rsidR="007B0AD7">
        <w:t>”</w:t>
      </w:r>
      <w:r w:rsidR="007B0AD7">
        <w:rPr>
          <w:rStyle w:val="FootnoteReference"/>
        </w:rPr>
        <w:footnoteReference w:id="47"/>
      </w:r>
      <w:r w:rsidR="001C735B">
        <w:t xml:space="preserve"> Lacking “some limited achievement” their only satisfaction come “from being embraced and</w:t>
      </w:r>
      <w:r w:rsidR="00D81CF5">
        <w:t xml:space="preserve"> driven by some big movement.”</w:t>
      </w:r>
      <w:r w:rsidR="00D81CF5">
        <w:rPr>
          <w:rStyle w:val="FootnoteReference"/>
        </w:rPr>
        <w:footnoteReference w:id="48"/>
      </w:r>
      <w:r w:rsidR="001C735B">
        <w:t xml:space="preserve"> It did not matter what that movement was.   </w:t>
      </w:r>
    </w:p>
    <w:p w14:paraId="147EC6EE" w14:textId="77777777" w:rsidR="001C735B" w:rsidRDefault="001C735B" w:rsidP="007F3E91">
      <w:pPr>
        <w:pStyle w:val="Body"/>
      </w:pPr>
      <w:r>
        <w:t>While any single adventurer may be animated by a goal, adventurers embody no particular goal, only endless processes and purposelessness. Because adventurers are essentially empty, there is nothing to prevent exploration from becoming exploitation and utopias from becoming dystopias.</w:t>
      </w:r>
    </w:p>
    <w:p w14:paraId="5EA26629" w14:textId="1B17902C" w:rsidR="001C735B" w:rsidRDefault="001C735B" w:rsidP="00E1339E">
      <w:pPr>
        <w:pStyle w:val="Quotation"/>
      </w:pPr>
      <w:r>
        <w:t>No matter what individual qualities or defects a man may have, once he has entered the maelstrom of an unending process of expansion, he will, as it were, cease to be what he was and obey the laws of the process, identify himself with anonymous forces that he is supposed to serve in order to keep the whole process in motion; he will think of himself as a mere function, and eventually consider such functionality, such an incarnation of the dynamic trend, his highest possible achievement.</w:t>
      </w:r>
      <w:r w:rsidR="003C0E63">
        <w:t xml:space="preserve">  Then, as [Cecil]</w:t>
      </w:r>
      <w:r>
        <w:t xml:space="preserve"> Rhodes was insane enough to say, he could indeed “do nothing wrong,” what he did became right.  It was his duty to do what he wanted.  He fel</w:t>
      </w:r>
      <w:r w:rsidR="00C11E0D">
        <w:t>t himself a god—nothing less.</w:t>
      </w:r>
      <w:r w:rsidR="00C11E0D">
        <w:rPr>
          <w:rStyle w:val="FootnoteReference"/>
        </w:rPr>
        <w:footnoteReference w:id="49"/>
      </w:r>
    </w:p>
    <w:p w14:paraId="17361A99" w14:textId="77777777" w:rsidR="001C735B" w:rsidRDefault="001C735B" w:rsidP="001C735B">
      <w:pPr>
        <w:pStyle w:val="Quote0"/>
        <w:rPr>
          <w:rFonts w:ascii="Times New Roman" w:hAnsi="Times New Roman"/>
          <w:sz w:val="24"/>
        </w:rPr>
      </w:pPr>
    </w:p>
    <w:p w14:paraId="11A7220C" w14:textId="4F6FA6C7" w:rsidR="001C735B" w:rsidRDefault="001C735B" w:rsidP="007F3E91">
      <w:pPr>
        <w:pStyle w:val="Body"/>
      </w:pPr>
      <w:r>
        <w:t xml:space="preserve">When we think of ourselves like </w:t>
      </w:r>
      <w:r w:rsidR="00E211CE">
        <w:t xml:space="preserve">gods, we behave like animals. Joseph Conrad’s </w:t>
      </w:r>
      <w:r w:rsidR="00E211CE">
        <w:rPr>
          <w:i/>
        </w:rPr>
        <w:t>Heart of Darkness</w:t>
      </w:r>
      <w:r w:rsidR="00E211CE">
        <w:t xml:space="preserve"> suggests that whe</w:t>
      </w:r>
      <w:r w:rsidR="00810242">
        <w:t>n</w:t>
      </w:r>
      <w:r w:rsidR="00E211CE">
        <w:t xml:space="preserve"> </w:t>
      </w:r>
      <w:r w:rsidR="00810242">
        <w:t>there is “no there, there</w:t>
      </w:r>
      <w:r w:rsidR="00E211CE">
        <w:t xml:space="preserve">” </w:t>
      </w:r>
      <w:r w:rsidR="00810242">
        <w:t xml:space="preserve">we will end up </w:t>
      </w:r>
      <w:r w:rsidR="00E211CE">
        <w:t xml:space="preserve">only </w:t>
      </w:r>
      <w:r w:rsidR="00810242">
        <w:t>with ourselves</w:t>
      </w:r>
      <w:r w:rsidR="00E211CE">
        <w:t xml:space="preserve">, projecting </w:t>
      </w:r>
      <w:r w:rsidR="00810242">
        <w:t xml:space="preserve">our </w:t>
      </w:r>
      <w:r w:rsidR="00E211CE">
        <w:t xml:space="preserve">own fears and foibles on an entire continent.  </w:t>
      </w:r>
      <w:r w:rsidR="00810242">
        <w:t xml:space="preserve">Thus Kurtz, who claimed to be searching for greatness, once he was </w:t>
      </w:r>
      <w:r w:rsidR="00E211CE">
        <w:t>freed from the limitations of the past and the present, became “hollow to the core,” “reckless without hardihood, greedy without audacity and cruel without courage.”</w:t>
      </w:r>
      <w:r w:rsidR="00E211CE">
        <w:rPr>
          <w:rStyle w:val="FootnoteReference"/>
        </w:rPr>
        <w:footnoteReference w:id="50"/>
      </w:r>
      <w:r>
        <w:t xml:space="preserve"> When we think we can “do nothing wrong,” whatever we do becomes right.  Rhodes thought he was “limited only by the size of the earth.”  Today we may have lost even this limitation.</w:t>
      </w:r>
    </w:p>
    <w:p w14:paraId="2532DCBE" w14:textId="181D9A92" w:rsidR="00CF1BCE" w:rsidRDefault="001C735B" w:rsidP="007F3E91">
      <w:pPr>
        <w:pStyle w:val="Body"/>
      </w:pPr>
      <w:r>
        <w:t xml:space="preserve">This is the tragic flaw of hubris. </w:t>
      </w:r>
      <w:r w:rsidR="00CF1BCE">
        <w:t>Seeking greatness in</w:t>
      </w:r>
      <w:r>
        <w:t xml:space="preserve"> itself is not the problem, nor should we forego challenging the boundaries of existence.  The tragic does speak to what is great in us, because the drive "to realize full human potential, to move into territories staked out by the highest human dreams and imaginations, means to move beyon</w:t>
      </w:r>
      <w:r w:rsidR="00EB3DE4">
        <w:t>d limits set on human beings.”</w:t>
      </w:r>
      <w:r w:rsidR="00EB3DE4">
        <w:rPr>
          <w:rStyle w:val="FootnoteReference"/>
        </w:rPr>
        <w:footnoteReference w:id="51"/>
      </w:r>
      <w:r>
        <w:t xml:space="preserve">  The tragic hero storming the gates of heaven—Prometheus in his pursuit of fire, Gilgamesh seeking immortality—is an inspiring call to greatness.  But, the quest for transcendence is always ambiguous. From the finite perspective, it is noble; from the ultimate perspective it is presumptuous, dangerous and must usually be punished.  Human greatness does emerge when we refuse to accept the way things are and insist that they can be better.  What the ultimate perspective of a tragic vision reminds us—and what is often missing when we speak of scientific know</w:t>
      </w:r>
      <w:r w:rsidR="000169A1">
        <w:t>ledge and technological ability—</w:t>
      </w:r>
      <w:r>
        <w:t>is that these limits “cannot be crossed without deep suffering a</w:t>
      </w:r>
      <w:r w:rsidR="00C306F3">
        <w:t>nd even death."</w:t>
      </w:r>
      <w:r w:rsidR="00C306F3">
        <w:rPr>
          <w:rStyle w:val="FootnoteReference"/>
        </w:rPr>
        <w:footnoteReference w:id="52"/>
      </w:r>
      <w:r>
        <w:t xml:space="preserve">  </w:t>
      </w:r>
      <w:r w:rsidR="000F6B2A">
        <w:t>To the extent that we lack</w:t>
      </w:r>
      <w:r>
        <w:t xml:space="preserve"> the ulti</w:t>
      </w:r>
      <w:r w:rsidR="000169A1">
        <w:t xml:space="preserve">mate perspective, there is no </w:t>
      </w:r>
      <w:r>
        <w:t>tragic dimension, only triumphalism. This is not a journey to greatness; it is (as Arendt argues) the road to hell.</w:t>
      </w:r>
    </w:p>
    <w:p w14:paraId="1C90D7B2" w14:textId="77777777" w:rsidR="000F6B2A" w:rsidRDefault="000F6B2A" w:rsidP="007F3E91">
      <w:pPr>
        <w:pStyle w:val="Body"/>
      </w:pPr>
    </w:p>
    <w:p w14:paraId="724D6F4E" w14:textId="77777777" w:rsidR="00172015" w:rsidRDefault="00172015" w:rsidP="007F3E91">
      <w:pPr>
        <w:pStyle w:val="Heading2"/>
      </w:pPr>
    </w:p>
    <w:p w14:paraId="354850C9" w14:textId="7D563CE1" w:rsidR="001C735B" w:rsidRPr="00CF1BCE" w:rsidRDefault="001C735B" w:rsidP="007F3E91">
      <w:pPr>
        <w:pStyle w:val="Heading2"/>
      </w:pPr>
      <w:r>
        <w:t>Redemption</w:t>
      </w:r>
      <w:r w:rsidR="00CF1BCE">
        <w:t xml:space="preserve"> without Repentance</w:t>
      </w:r>
    </w:p>
    <w:p w14:paraId="324FFB73" w14:textId="691D68A9" w:rsidR="001C735B" w:rsidRDefault="001C735B" w:rsidP="007F3E91">
      <w:pPr>
        <w:pStyle w:val="Body"/>
      </w:pPr>
      <w:r>
        <w:t xml:space="preserve">The second consequence of this lack of distinction, and the results are </w:t>
      </w:r>
      <w:proofErr w:type="gramStart"/>
      <w:r>
        <w:t>more subtle</w:t>
      </w:r>
      <w:proofErr w:type="gramEnd"/>
      <w:r>
        <w:t xml:space="preserve"> than the first, is that </w:t>
      </w:r>
      <w:r w:rsidR="004C658D">
        <w:t>the language associated with space exploration—the “conquest of space”—</w:t>
      </w:r>
      <w:r>
        <w:t xml:space="preserve"> fail to see human beings as we are and as we have been.  They fail to own up to who we really are and what we have really done.  When nothing confronts us with our own finitude and fallibility, we are free to ignore it.  Thus, there is a strange historical amnesia in our technological pride, a forgetfulness that permeates our rhetoric.  President Bush (2004) declared “Mankind is drawn to the heavens for the same reason we were once drawn into unknown lands and across the open sea.  We choose to explore space because doing so improves our lives, and lifts our national spirit,” and in so doing he simply ignored all those for whom European exploration meant the destruction of their lives and spirit—the people who already lived in the Americas.  Nor does he recall the 400 years of colonial war that followed upon Columbus, as Europeans fought among</w:t>
      </w:r>
      <w:r w:rsidR="001114F0">
        <w:t>st</w:t>
      </w:r>
      <w:r>
        <w:t xml:space="preserve"> themselves for the spoils of conquest. </w:t>
      </w:r>
    </w:p>
    <w:p w14:paraId="416E28BE" w14:textId="77777777" w:rsidR="001C735B" w:rsidRDefault="001C735B" w:rsidP="007F3E91">
      <w:pPr>
        <w:pStyle w:val="Body"/>
      </w:pPr>
      <w:r>
        <w:t>The Mars Society has also forgotten the history of imperialism.  Mars, they declare, “</w:t>
      </w:r>
      <w:proofErr w:type="gramStart"/>
      <w:r>
        <w:t>is</w:t>
      </w:r>
      <w:proofErr w:type="gramEnd"/>
      <w:r>
        <w:t xml:space="preserve"> a New World, filled with history waiting to be made by a new and youthful branch of human civilization that is waiting to be born.” </w:t>
      </w:r>
      <w:r>
        <w:rPr>
          <w:rStyle w:val="EndnoteReference"/>
        </w:rPr>
        <w:t xml:space="preserve">  </w:t>
      </w:r>
      <w:proofErr w:type="spellStart"/>
      <w:r>
        <w:t>Zubin</w:t>
      </w:r>
      <w:proofErr w:type="spellEnd"/>
      <w:r>
        <w:t xml:space="preserve"> goes further than most in invoking the Frontier Myth: </w:t>
      </w:r>
    </w:p>
    <w:p w14:paraId="3A1DE32E" w14:textId="5496CFD1" w:rsidR="001C735B" w:rsidRDefault="001C735B" w:rsidP="000F6B2A">
      <w:pPr>
        <w:pStyle w:val="Quotation"/>
      </w:pPr>
      <w:r>
        <w:t>Without a frontier from which to breathe new life, the spirit that gave rise to the progressive humanistic culture that America has represented for the past two centuries is fading.  The issue is not just one of national loss—human progress needs a vanguard, and no replacement is in sight.  The creation of a new frontier thus presents itself as America’s and hu</w:t>
      </w:r>
      <w:r w:rsidR="000F6B2A">
        <w:t>manity’s greatest social goal.</w:t>
      </w:r>
      <w:r w:rsidR="000F6B2A">
        <w:rPr>
          <w:rStyle w:val="FootnoteReference"/>
        </w:rPr>
        <w:footnoteReference w:id="53"/>
      </w:r>
      <w:r>
        <w:t xml:space="preserve">  </w:t>
      </w:r>
    </w:p>
    <w:p w14:paraId="27A1339B" w14:textId="77777777" w:rsidR="001C735B" w:rsidRDefault="001C735B" w:rsidP="001C735B"/>
    <w:p w14:paraId="6E457741" w14:textId="7AFEF3C1" w:rsidR="001C735B" w:rsidRDefault="001C735B" w:rsidP="007F3E91">
      <w:pPr>
        <w:pStyle w:val="Body"/>
      </w:pPr>
      <w:r>
        <w:t>In all these expressions a sanitized, bloodless, and victimless Frontier Myth is put in place of history.  Thus a key element of the tragic is miss</w:t>
      </w:r>
      <w:r w:rsidR="001114F0">
        <w:t>ing, the “shock of recognition,</w:t>
      </w:r>
      <w:r>
        <w:t>” the moment of truth when the hero comes face to face with the reality of his own culpability.  Aristotle speaks of disclosure being the climactic point of a tragedy, especially self-disclosure, as when Oedipus not only recognizes everyone for who they are</w:t>
      </w:r>
      <w:proofErr w:type="gramStart"/>
      <w:r>
        <w:t>,  but</w:t>
      </w:r>
      <w:proofErr w:type="gramEnd"/>
      <w:r>
        <w:t xml:space="preserve"> also  recognizes himself for what he is and what he has done.  </w:t>
      </w:r>
    </w:p>
    <w:p w14:paraId="79FCF06C" w14:textId="4BBE72DC" w:rsidR="001C735B" w:rsidRDefault="001C735B" w:rsidP="007F3E91">
      <w:pPr>
        <w:pStyle w:val="Body"/>
      </w:pPr>
      <w:r>
        <w:t xml:space="preserve">This is also the climax of Joseph Conrad’s </w:t>
      </w:r>
      <w:r>
        <w:rPr>
          <w:i/>
        </w:rPr>
        <w:t>Heart of Darkness</w:t>
      </w:r>
      <w:r>
        <w:t xml:space="preserve">.  </w:t>
      </w:r>
      <w:proofErr w:type="spellStart"/>
      <w:r>
        <w:t>Kurts</w:t>
      </w:r>
      <w:proofErr w:type="spellEnd"/>
      <w:r>
        <w:t xml:space="preserve"> has gone to Africa to spread civilization.  But, suddenly finding himself with nothing to restrain him, he looks inside himself and what he sees destroys him. Below all the layers of civilization he was barbaric, as barbari</w:t>
      </w:r>
      <w:r w:rsidR="001114F0">
        <w:t>c as the Africans he thought he</w:t>
      </w:r>
      <w:r>
        <w:t xml:space="preserve"> had come to civilize.  He had no choice but to give free reign to this barbarism, and to act out abominations, rituals in the dead of night, </w:t>
      </w:r>
      <w:r w:rsidR="00C04981">
        <w:t>and ceremonies</w:t>
      </w:r>
      <w:r>
        <w:t xml:space="preserve"> of destructive sexuality, cruelty and torture.  What he discovered, an aspect of the tragic </w:t>
      </w:r>
      <w:proofErr w:type="gramStart"/>
      <w:r>
        <w:t>vision,</w:t>
      </w:r>
      <w:proofErr w:type="gramEnd"/>
      <w:r>
        <w:t xml:space="preserve"> is that the power of the destructive forces is within us:  "We have met the enemy, and it is us."   His last words—"The horror, the horror"—reflect his inner self.</w:t>
      </w:r>
    </w:p>
    <w:p w14:paraId="0165016E" w14:textId="18E9B1EA" w:rsidR="007D5244" w:rsidRDefault="001C735B" w:rsidP="007F3E91">
      <w:pPr>
        <w:pStyle w:val="Body"/>
      </w:pPr>
      <w:r>
        <w:t xml:space="preserve">A new beginning is not possible unless we can be transformed.  But, we cannot be transformed until we confront who we are and what we have done.  </w:t>
      </w:r>
      <w:r w:rsidR="007D5244">
        <w:t xml:space="preserve">The ability to believe in the possibility of a new beginning even while staring unblinkingly at our present situation is at the heart of redemption, a </w:t>
      </w:r>
      <w:proofErr w:type="spellStart"/>
      <w:r w:rsidR="007D5244">
        <w:t>Kierkegaardian</w:t>
      </w:r>
      <w:proofErr w:type="spellEnd"/>
      <w:r w:rsidR="007D5244">
        <w:t xml:space="preserve"> leap of faith.  </w:t>
      </w:r>
      <w:proofErr w:type="gramStart"/>
      <w:r w:rsidR="007D5244">
        <w:t>The inability to do so means that we have to ignore the past and run</w:t>
      </w:r>
      <w:r w:rsidR="009859A0">
        <w:t xml:space="preserve"> from it.</w:t>
      </w:r>
      <w:proofErr w:type="gramEnd"/>
      <w:r w:rsidR="009859A0">
        <w:t xml:space="preserve"> </w:t>
      </w:r>
      <w:r w:rsidR="007D5244">
        <w:t xml:space="preserve">Endless movement is the shallow alternative to real redemption. Arendt </w:t>
      </w:r>
      <w:r w:rsidR="00040ACE">
        <w:t>suggest</w:t>
      </w:r>
      <w:r w:rsidR="001114F0">
        <w:t>s</w:t>
      </w:r>
      <w:r w:rsidR="00040ACE">
        <w:t xml:space="preserve"> that the belief in endless expansion—the driving force </w:t>
      </w:r>
      <w:r w:rsidR="007D5244">
        <w:t>behind imperialism</w:t>
      </w:r>
      <w:r w:rsidR="00040ACE">
        <w:t>—made it possible to avoid our sins.</w:t>
      </w:r>
      <w:r w:rsidR="00040ACE">
        <w:rPr>
          <w:rStyle w:val="FootnoteReference"/>
        </w:rPr>
        <w:footnoteReference w:id="54"/>
      </w:r>
      <w:r w:rsidR="007D5244">
        <w:t xml:space="preserve"> </w:t>
      </w:r>
      <w:r w:rsidR="009859A0">
        <w:t xml:space="preserve">But, as any drunk can tell you, the first step to </w:t>
      </w:r>
      <w:r w:rsidR="001114F0">
        <w:t xml:space="preserve">redemption </w:t>
      </w:r>
      <w:r w:rsidR="009859A0">
        <w:t xml:space="preserve">is admitting that you </w:t>
      </w:r>
      <w:r w:rsidR="00242FA9">
        <w:t>have a problem</w:t>
      </w:r>
      <w:r w:rsidR="009859A0">
        <w:t xml:space="preserve"> and then taking a fearless inventory of your past. </w:t>
      </w:r>
      <w:r w:rsidR="00242FA9">
        <w:t>Rather tha</w:t>
      </w:r>
      <w:r w:rsidR="007D5244">
        <w:t xml:space="preserve">n experiencing the shock of recognition that confronts us with our past, then experiencing the repentance that leads to the transformation that allows us to do something truly different, we simply move on and swear that it won’t happen again (whatever it was, and whoever was responsible, that is all in the past. Really.) </w:t>
      </w:r>
      <w:r w:rsidR="00C04981">
        <w:t xml:space="preserve"> That those who ignore history are doomed to repeat it is certainly true, and Stanley Hauerwas goes so far as to suggest that, no people who truly acknowledged and repented of the sins of their past would have the hubris to embark on an imperial enterprise.</w:t>
      </w:r>
      <w:r w:rsidR="007D5244">
        <w:t xml:space="preserve"> Trying to create a New World without the ability to look at the old one is like a dry drunk, toughing it out in a distillery because he neglected to take the first step.  </w:t>
      </w:r>
    </w:p>
    <w:p w14:paraId="1AF47E81" w14:textId="10E3AAFD" w:rsidR="007D5244" w:rsidRDefault="007D5244" w:rsidP="007F3E91">
      <w:pPr>
        <w:pStyle w:val="Body"/>
      </w:pPr>
      <w:r>
        <w:t>The tragic hero is never without fault, and the suffering that results from our quest is not completely undeserved.   We bear the responsibility for our choices and actions.  That human beings are active participan</w:t>
      </w:r>
      <w:r w:rsidR="00242FA9">
        <w:t xml:space="preserve">ts in the tragedy of existence </w:t>
      </w:r>
      <w:r>
        <w:t xml:space="preserve">implies both freedom—meaning that we can act in the face of finitude—and responsibility—that these acts have consequences. The idea that human beings do not have to be limited by the world as it is, nor defined by the sins of the past—whether our own, our families or our cultures—speaks to the fundamental freedom of human beings to act in the world in new and unexpected ways.  To be human is to be able to act, not just follow along. </w:t>
      </w:r>
    </w:p>
    <w:p w14:paraId="11182A7F" w14:textId="77777777" w:rsidR="007D5244" w:rsidRDefault="007D5244" w:rsidP="007F3E91">
      <w:pPr>
        <w:pStyle w:val="Body"/>
      </w:pPr>
    </w:p>
    <w:p w14:paraId="41394898" w14:textId="66B2B352" w:rsidR="001C735B" w:rsidRDefault="001C735B" w:rsidP="007F3E91">
      <w:pPr>
        <w:pStyle w:val="Body"/>
      </w:pPr>
      <w:r>
        <w:t>This inability to admit to mista</w:t>
      </w:r>
      <w:r w:rsidR="00280C40">
        <w:t xml:space="preserve">kes in the past is curious, and it gives rise to the question as to why it is so hard. </w:t>
      </w:r>
      <w:r>
        <w:t xml:space="preserve">The most immediate reason appears to be that </w:t>
      </w:r>
      <w:r w:rsidR="00242FA9">
        <w:t xml:space="preserve">those who express such an unmitigated confidence in space exploration find it difficult to </w:t>
      </w:r>
      <w:r>
        <w:t xml:space="preserve">see what </w:t>
      </w:r>
      <w:r w:rsidR="00242FA9">
        <w:t>human beings</w:t>
      </w:r>
      <w:r>
        <w:t xml:space="preserve"> have done because they are blinded by their confidence in </w:t>
      </w:r>
      <w:r w:rsidR="00242FA9">
        <w:t>what we can do</w:t>
      </w:r>
      <w:r>
        <w:t>.  The inability to distingu</w:t>
      </w:r>
      <w:r w:rsidR="00757CB2">
        <w:t>ish a truly transcendent vision</w:t>
      </w:r>
      <w:r>
        <w:t xml:space="preserve"> makes it impossible to see the limits of reality.  It is as though we can’t see how shabby our coat is unless we see the grand new one </w:t>
      </w:r>
      <w:r w:rsidR="00242FA9">
        <w:t xml:space="preserve">in the window of </w:t>
      </w:r>
      <w:proofErr w:type="spellStart"/>
      <w:r w:rsidR="00242FA9">
        <w:t>Nieman</w:t>
      </w:r>
      <w:proofErr w:type="spellEnd"/>
      <w:r w:rsidR="00242FA9">
        <w:t xml:space="preserve"> Marcus.</w:t>
      </w:r>
      <w:r>
        <w:t xml:space="preserve"> </w:t>
      </w:r>
    </w:p>
    <w:p w14:paraId="4DA2BE7E" w14:textId="70963D82" w:rsidR="001C735B" w:rsidRDefault="001C735B" w:rsidP="007F3E91">
      <w:pPr>
        <w:pStyle w:val="Body"/>
      </w:pPr>
      <w:r>
        <w:t xml:space="preserve">There is something even deeper, however, and there is a sense that even if they could see it, they would be forced to turn away and pretend that it was not there. For without something beyond our own desires, what do we do with our mistakes?  Our sins, if you will?  When </w:t>
      </w:r>
      <w:r w:rsidR="00757CB2">
        <w:t xml:space="preserve">you </w:t>
      </w:r>
      <w:r>
        <w:t xml:space="preserve">wake up one morning and discover </w:t>
      </w:r>
      <w:r w:rsidR="00757CB2">
        <w:t>you</w:t>
      </w:r>
      <w:r>
        <w:t xml:space="preserve"> are knee deep in the blood of creation, a tragic vision can help </w:t>
      </w:r>
      <w:r w:rsidR="00757CB2">
        <w:t xml:space="preserve">you </w:t>
      </w:r>
      <w:r>
        <w:t>cope with the realization</w:t>
      </w:r>
      <w:r w:rsidR="00757CB2">
        <w:t xml:space="preserve"> because it suggests that this realization is the </w:t>
      </w:r>
      <w:r>
        <w:t xml:space="preserve">path to real transformation and redemption.  But, </w:t>
      </w:r>
      <w:r w:rsidR="007D5244">
        <w:t xml:space="preserve">to the extent that we lack a sense of the tragic, </w:t>
      </w:r>
      <w:r>
        <w:t>when we look in this mirror, we are forced to turn away.</w:t>
      </w:r>
    </w:p>
    <w:p w14:paraId="7772C85A" w14:textId="77777777" w:rsidR="001C735B" w:rsidRDefault="001C735B" w:rsidP="007F3E91">
      <w:pPr>
        <w:pStyle w:val="Body"/>
      </w:pPr>
      <w:r>
        <w:t xml:space="preserve">In a pivotal scene in the movie </w:t>
      </w:r>
      <w:r>
        <w:rPr>
          <w:i/>
        </w:rPr>
        <w:t>Schindler’s List</w:t>
      </w:r>
      <w:r>
        <w:t xml:space="preserve">, Schindler confronts the camp commander </w:t>
      </w:r>
      <w:proofErr w:type="spellStart"/>
      <w:r>
        <w:t>Amon</w:t>
      </w:r>
      <w:proofErr w:type="spellEnd"/>
      <w:r>
        <w:t xml:space="preserve"> Goetz with an image of true transcendence.   Real power is not doing what the law—natural, human, historical or otherwise—says we must do, it lies in the ability to release someone from the consequences of their actions.   We see Goetz struggling with this concept, and three times he “pardons” Jewish “transgressors.”   After his final pardon, Goetz looks in the mirror, touches his reflection on the glass and attempts to pardon himself.  But he cannot—perhaps because he cannot bear to see what he has truly done, or perhaps because he knows that the magnitude of his sins is beyond his power to forgive. Without that pardon, Goetz has no choice but to blindly revert to his past.  He takes his gun and kills the boy he has just pardoned.  </w:t>
      </w:r>
    </w:p>
    <w:p w14:paraId="471D1A2B" w14:textId="77777777" w:rsidR="001C735B" w:rsidRDefault="001C735B" w:rsidP="007F3E91">
      <w:pPr>
        <w:pStyle w:val="Body"/>
      </w:pPr>
    </w:p>
    <w:p w14:paraId="092848B2" w14:textId="1FD32216" w:rsidR="001C735B" w:rsidRDefault="00F33426" w:rsidP="007F3E91">
      <w:pPr>
        <w:pStyle w:val="Body"/>
      </w:pPr>
      <w:r>
        <w:t xml:space="preserve">The language of space exploration—and technology in general—loses the tragic tension, because there is </w:t>
      </w:r>
      <w:r w:rsidR="00FC590C">
        <w:t xml:space="preserve">ultimately </w:t>
      </w:r>
      <w:r>
        <w:t xml:space="preserve">no ultimate, </w:t>
      </w:r>
      <w:r w:rsidR="00FC590C">
        <w:t xml:space="preserve">just the journey of </w:t>
      </w:r>
      <w:r>
        <w:t xml:space="preserve">human accomplishments and actions. Human greatness is understood in technological terms and redemption is a scientific and technocratic venture, granting a </w:t>
      </w:r>
      <w:r>
        <w:rPr>
          <w:rStyle w:val="CommentReference"/>
          <w:rFonts w:ascii="Baskerville" w:hAnsi="Baskerville"/>
          <w:vanish/>
        </w:rPr>
        <w:t xml:space="preserve"> a a </w:t>
      </w:r>
      <w:r>
        <w:t>divine and salvific status to human science and technology. Humanity is self-transcendent and fully capable of stepping into the role of the Creator, again the Mars Society:  “Human beings are more than merely another kind of animal—we are life’s messenger.  Alone of the creatures of the Earth, we have the ability to continue the work of creation by bringing life to Mars, and Mars to life.”  There is a creation but no creator!</w:t>
      </w:r>
      <w:r w:rsidR="00757CB2">
        <w:t xml:space="preserve"> </w:t>
      </w:r>
      <w:r w:rsidR="001C735B">
        <w:t xml:space="preserve">The </w:t>
      </w:r>
      <w:r>
        <w:t xml:space="preserve">language of science and technology </w:t>
      </w:r>
      <w:r w:rsidR="001C735B">
        <w:t xml:space="preserve">not only provides a paradoxical Imago Dei, because there is no God; it envisions a paradoxical utopia, because there is no vision.  And there is no vision because </w:t>
      </w:r>
      <w:r w:rsidR="00C32C5D">
        <w:t>i</w:t>
      </w:r>
      <w:r w:rsidR="00772652">
        <w:t xml:space="preserve">ts goals are </w:t>
      </w:r>
      <w:r w:rsidR="001C735B">
        <w:t xml:space="preserve">as untethered as the men in Conrad’s story.  It is as hollow as the “hollow men.”  This narrative is devoid of history, of community or ambiguity.  It lacks the most fundamental element of the Imago Die:  the recognition that </w:t>
      </w:r>
      <w:r w:rsidR="001C735B" w:rsidRPr="007F3E91">
        <w:t>we</w:t>
      </w:r>
      <w:r w:rsidR="001C735B">
        <w:t xml:space="preserve"> are fallen and must therefore contend with the limitations of finitude.</w:t>
      </w:r>
    </w:p>
    <w:p w14:paraId="48B0A6B9" w14:textId="63F6FACC" w:rsidR="00772652" w:rsidRDefault="00772652" w:rsidP="007F3E91">
      <w:pPr>
        <w:pStyle w:val="Body"/>
      </w:pPr>
      <w:r>
        <w:t xml:space="preserve">It is, of course, possible to set out on a journey and be </w:t>
      </w:r>
      <w:r w:rsidR="0099490A">
        <w:t>transformed;</w:t>
      </w:r>
      <w:r>
        <w:t xml:space="preserve"> it is even possible to start a new life, to experience </w:t>
      </w:r>
      <w:proofErr w:type="gramStart"/>
      <w:r>
        <w:t>a redemption</w:t>
      </w:r>
      <w:proofErr w:type="gramEnd"/>
      <w:r>
        <w:t xml:space="preserve">.  It is not possible without an adequate understanding of our limits and an unblinking resolve to confront our past, that is, a sense of repentance.  Without the acknowledgement of transcendence, and the acceptance of our limitations in the face of it, our vision will be as hollow as the “hollow men” of Conrad’s narrative. Lacking any real vision in this hall of mirrors, </w:t>
      </w:r>
      <w:r w:rsidR="00AE020B">
        <w:t>we</w:t>
      </w:r>
      <w:r>
        <w:t xml:space="preserve"> cannot hope to create a new world because </w:t>
      </w:r>
      <w:r w:rsidR="00AE020B">
        <w:t>we</w:t>
      </w:r>
      <w:r>
        <w:t xml:space="preserve"> refuse to acknowledge the old one. Our New Eden, whether on Mars or in the laboratory, may well reveal a Martian Heart of Darkness. </w:t>
      </w:r>
    </w:p>
    <w:p w14:paraId="5B6AE319" w14:textId="77777777" w:rsidR="00772652" w:rsidRDefault="00772652" w:rsidP="007F3E91">
      <w:pPr>
        <w:pStyle w:val="Body"/>
        <w:rPr>
          <w:rStyle w:val="CommentReference"/>
          <w:rFonts w:ascii="Baskerville" w:hAnsi="Baskerville"/>
          <w:vanish/>
        </w:rPr>
      </w:pPr>
    </w:p>
    <w:p w14:paraId="74CEDC74" w14:textId="77777777" w:rsidR="00772652" w:rsidRDefault="00772652">
      <w:pPr>
        <w:spacing w:line="240" w:lineRule="auto"/>
        <w:ind w:firstLine="0"/>
        <w:rPr>
          <w:rStyle w:val="CommentReference"/>
          <w:rFonts w:eastAsia="Times"/>
          <w:vanish/>
        </w:rPr>
      </w:pPr>
      <w:r>
        <w:rPr>
          <w:rStyle w:val="CommentReference"/>
          <w:vanish/>
        </w:rPr>
        <w:br w:type="page"/>
      </w:r>
    </w:p>
    <w:p w14:paraId="0ACB549E" w14:textId="77777777" w:rsidR="00772652" w:rsidRDefault="00772652">
      <w:pPr>
        <w:spacing w:line="240" w:lineRule="auto"/>
        <w:ind w:firstLine="0"/>
        <w:rPr>
          <w:rFonts w:ascii="Times New Roman" w:eastAsia="Times" w:hAnsi="Times New Roman"/>
          <w:b/>
          <w:sz w:val="20"/>
          <w:szCs w:val="20"/>
        </w:rPr>
      </w:pPr>
      <w:r>
        <w:rPr>
          <w:b/>
        </w:rPr>
        <w:br w:type="page"/>
      </w:r>
    </w:p>
    <w:p w14:paraId="39426E5D" w14:textId="529FBE53" w:rsidR="007456CE" w:rsidRPr="009A58E9" w:rsidRDefault="007456CE" w:rsidP="00DB5C36">
      <w:pPr>
        <w:pStyle w:val="Heading1"/>
      </w:pPr>
      <w:r>
        <w:t>REFERENCES</w:t>
      </w:r>
    </w:p>
    <w:p w14:paraId="4490C458" w14:textId="77777777" w:rsidR="007456CE" w:rsidRPr="009A58E9" w:rsidRDefault="007456CE" w:rsidP="007456CE">
      <w:pPr>
        <w:pStyle w:val="Author"/>
      </w:pPr>
      <w:r w:rsidRPr="009A58E9">
        <w:t xml:space="preserve">Arendt, Hannah </w:t>
      </w:r>
    </w:p>
    <w:p w14:paraId="00C946A7" w14:textId="29808FAF" w:rsidR="007456CE" w:rsidRPr="009A58E9" w:rsidRDefault="007456CE" w:rsidP="007456CE">
      <w:pPr>
        <w:pStyle w:val="Author"/>
      </w:pPr>
      <w:r w:rsidRPr="009A58E9">
        <w:t>(Abbreviation listed after title)</w:t>
      </w:r>
    </w:p>
    <w:p w14:paraId="0A5C80AE" w14:textId="2238B6E2" w:rsidR="000C144D" w:rsidRPr="007456CE" w:rsidRDefault="007456CE" w:rsidP="00234A31">
      <w:pPr>
        <w:pStyle w:val="Work"/>
      </w:pPr>
      <w:r>
        <w:t>1951</w:t>
      </w:r>
      <w:r>
        <w:tab/>
      </w:r>
      <w:r>
        <w:rPr>
          <w:i/>
        </w:rPr>
        <w:t>The Origins of Totalitarianism</w:t>
      </w:r>
      <w:r>
        <w:t xml:space="preserve">. </w:t>
      </w:r>
      <w:proofErr w:type="gramStart"/>
      <w:r>
        <w:t>Second Enlarged Edition</w:t>
      </w:r>
      <w:r w:rsidR="00AE060E">
        <w:t>.</w:t>
      </w:r>
      <w:proofErr w:type="gramEnd"/>
      <w:r w:rsidR="00AE060E">
        <w:t xml:space="preserve">  </w:t>
      </w:r>
      <w:r w:rsidRPr="00746C56">
        <w:t>Cleveland:  The World Publishing Company</w:t>
      </w:r>
      <w:r w:rsidR="00AE060E">
        <w:t>.</w:t>
      </w:r>
    </w:p>
    <w:p w14:paraId="0A5EC769" w14:textId="5D28F6A2" w:rsidR="00274ACB" w:rsidRPr="00274ACB" w:rsidRDefault="00274ACB" w:rsidP="00234A31">
      <w:pPr>
        <w:pStyle w:val="Work"/>
      </w:pPr>
      <w:proofErr w:type="gramStart"/>
      <w:r>
        <w:t>1954</w:t>
      </w:r>
      <w:r>
        <w:tab/>
        <w:t>“Understanding and Polit</w:t>
      </w:r>
      <w:r w:rsidR="00FB35C9">
        <w:t>ics</w:t>
      </w:r>
      <w:r>
        <w:t xml:space="preserve">” </w:t>
      </w:r>
      <w:r>
        <w:rPr>
          <w:i/>
        </w:rPr>
        <w:t>Partisan Review</w:t>
      </w:r>
      <w:r>
        <w:t xml:space="preserve"> </w:t>
      </w:r>
      <w:r w:rsidR="00FB35C9">
        <w:t>v. 20 n. 4.</w:t>
      </w:r>
      <w:proofErr w:type="gramEnd"/>
      <w:r w:rsidR="00FB35C9">
        <w:t xml:space="preserve"> </w:t>
      </w:r>
    </w:p>
    <w:p w14:paraId="035DB681" w14:textId="6264DF01" w:rsidR="007456CE" w:rsidRPr="009A58E9" w:rsidRDefault="007456CE" w:rsidP="00234A31">
      <w:pPr>
        <w:pStyle w:val="Work"/>
      </w:pPr>
      <w:r w:rsidRPr="009A58E9">
        <w:t>1958</w:t>
      </w:r>
      <w:r w:rsidRPr="009A58E9">
        <w:tab/>
      </w:r>
      <w:r w:rsidRPr="009A58E9">
        <w:rPr>
          <w:i/>
        </w:rPr>
        <w:t>The Human Condition</w:t>
      </w:r>
      <w:r w:rsidRPr="009A58E9">
        <w:t>.  Chicago:  University of Chicago Press.  (HC)</w:t>
      </w:r>
    </w:p>
    <w:p w14:paraId="55B91F73" w14:textId="52CC0CB8" w:rsidR="007456CE" w:rsidRPr="009A58E9" w:rsidRDefault="007456CE" w:rsidP="00234A31">
      <w:pPr>
        <w:pStyle w:val="Work"/>
      </w:pPr>
      <w:r w:rsidRPr="009A58E9">
        <w:t>1962</w:t>
      </w:r>
      <w:r w:rsidRPr="009A58E9">
        <w:tab/>
      </w:r>
      <w:r w:rsidRPr="009A58E9">
        <w:rPr>
          <w:i/>
        </w:rPr>
        <w:t>On Revolution</w:t>
      </w:r>
      <w:r w:rsidRPr="009A58E9">
        <w:t>.  New York:  Viking Press.  (OR)</w:t>
      </w:r>
    </w:p>
    <w:p w14:paraId="0669C2B7" w14:textId="7910C323" w:rsidR="007456CE" w:rsidRPr="009A58E9" w:rsidRDefault="007456CE" w:rsidP="00234A31">
      <w:pPr>
        <w:pStyle w:val="Work"/>
      </w:pPr>
      <w:r w:rsidRPr="009A58E9">
        <w:t>1968</w:t>
      </w:r>
      <w:r w:rsidRPr="009A58E9">
        <w:tab/>
      </w:r>
      <w:r>
        <w:t xml:space="preserve">“Walter Benjamin, 1892-1940. </w:t>
      </w:r>
      <w:proofErr w:type="gramStart"/>
      <w:r w:rsidRPr="009A58E9">
        <w:rPr>
          <w:i/>
        </w:rPr>
        <w:t>Men in Dark Times</w:t>
      </w:r>
      <w:r w:rsidRPr="009A58E9">
        <w:t>.</w:t>
      </w:r>
      <w:proofErr w:type="gramEnd"/>
      <w:r w:rsidRPr="009A58E9">
        <w:t xml:space="preserve"> Harcou</w:t>
      </w:r>
      <w:r>
        <w:t>rt Brace &amp; Company:  San Diego.</w:t>
      </w:r>
      <w:r w:rsidR="000C144D">
        <w:t xml:space="preserve"> (Benjamin)</w:t>
      </w:r>
    </w:p>
    <w:p w14:paraId="225F8CC5" w14:textId="77777777" w:rsidR="007456CE" w:rsidRPr="009A58E9" w:rsidRDefault="007456CE" w:rsidP="00234A31">
      <w:pPr>
        <w:pStyle w:val="Work"/>
      </w:pPr>
      <w:r w:rsidRPr="009A58E9">
        <w:t>1968</w:t>
      </w:r>
      <w:r w:rsidRPr="009A58E9">
        <w:tab/>
      </w:r>
      <w:r w:rsidRPr="009A58E9">
        <w:rPr>
          <w:i/>
        </w:rPr>
        <w:t>Between Past and Future</w:t>
      </w:r>
      <w:r w:rsidRPr="009A58E9">
        <w:t xml:space="preserve">.  New York:  Penguin Books. </w:t>
      </w:r>
    </w:p>
    <w:p w14:paraId="46A83470" w14:textId="1C42B748" w:rsidR="007456CE" w:rsidRPr="009A58E9" w:rsidRDefault="007456CE" w:rsidP="00234A31">
      <w:pPr>
        <w:pStyle w:val="Work"/>
        <w:ind w:left="2880" w:firstLine="0"/>
      </w:pPr>
      <w:r w:rsidRPr="009A58E9">
        <w:t>“Tradit</w:t>
      </w:r>
      <w:r w:rsidR="00037DD8">
        <w:t xml:space="preserve">ion and the Modern Age” (17-40) </w:t>
      </w:r>
      <w:r w:rsidRPr="009A58E9">
        <w:t>(TMA)</w:t>
      </w:r>
    </w:p>
    <w:p w14:paraId="347D8DDE" w14:textId="6DF65652" w:rsidR="00037DD8" w:rsidRDefault="007456CE" w:rsidP="00234A31">
      <w:pPr>
        <w:pStyle w:val="Work"/>
        <w:ind w:left="2880" w:firstLine="0"/>
      </w:pPr>
      <w:r w:rsidRPr="009A58E9">
        <w:t>“What is Authority” (91-141) (WA</w:t>
      </w:r>
      <w:proofErr w:type="gramStart"/>
      <w:r w:rsidRPr="009A58E9">
        <w:t>)</w:t>
      </w:r>
      <w:proofErr w:type="gramEnd"/>
    </w:p>
    <w:p w14:paraId="07DBD3A0" w14:textId="6D0CD313" w:rsidR="00037DD8" w:rsidRDefault="00037DD8" w:rsidP="00234A31">
      <w:pPr>
        <w:pStyle w:val="Work"/>
        <w:ind w:left="2880" w:firstLine="0"/>
      </w:pPr>
      <w:r w:rsidRPr="009A58E9">
        <w:t>“The Crisis in Culture:  Its Social and Its Political Significance” (197-226) (CC)</w:t>
      </w:r>
      <w:r w:rsidRPr="009A58E9">
        <w:t xml:space="preserve"> </w:t>
      </w:r>
      <w:r w:rsidR="007456CE" w:rsidRPr="009A58E9">
        <w:t>“Truth and Politics”  (227-264) (TP)</w:t>
      </w:r>
    </w:p>
    <w:p w14:paraId="4E4505FD" w14:textId="39A52E0D" w:rsidR="007456CE" w:rsidRPr="009A58E9" w:rsidRDefault="007456CE" w:rsidP="00234A31">
      <w:pPr>
        <w:pStyle w:val="Work"/>
        <w:ind w:left="2880" w:firstLine="0"/>
      </w:pPr>
      <w:r w:rsidRPr="009A58E9">
        <w:t>“The Conquest of Space and the Stature of Man” (265-280) (CSSM)</w:t>
      </w:r>
    </w:p>
    <w:p w14:paraId="276332F6" w14:textId="0D61B55F" w:rsidR="007456CE" w:rsidRPr="009A58E9" w:rsidRDefault="007456CE" w:rsidP="00234A31">
      <w:pPr>
        <w:pStyle w:val="Work"/>
      </w:pPr>
      <w:r w:rsidRPr="009A58E9">
        <w:t>1971</w:t>
      </w:r>
      <w:r w:rsidRPr="009A58E9">
        <w:tab/>
        <w:t xml:space="preserve">“Thinking </w:t>
      </w:r>
      <w:r w:rsidRPr="007456CE">
        <w:t>and</w:t>
      </w:r>
      <w:r w:rsidRPr="009A58E9">
        <w:t xml:space="preserve"> Moral Considerations:  A Lecture,” </w:t>
      </w:r>
      <w:r w:rsidRPr="009A58E9">
        <w:rPr>
          <w:i/>
        </w:rPr>
        <w:t xml:space="preserve">Social Research </w:t>
      </w:r>
      <w:r w:rsidRPr="009A58E9">
        <w:t>v. 38 n 3, 417-</w:t>
      </w:r>
      <w:proofErr w:type="gramStart"/>
      <w:r w:rsidRPr="009A58E9">
        <w:t>446  Autumn</w:t>
      </w:r>
      <w:proofErr w:type="gramEnd"/>
      <w:r w:rsidRPr="009A58E9">
        <w:t>. (TMC)</w:t>
      </w:r>
    </w:p>
    <w:p w14:paraId="51741E72" w14:textId="7877B003" w:rsidR="007456CE" w:rsidRPr="009A58E9" w:rsidRDefault="007456CE" w:rsidP="00234A31">
      <w:pPr>
        <w:pStyle w:val="Work"/>
      </w:pPr>
      <w:r w:rsidRPr="009A58E9">
        <w:t>1977</w:t>
      </w:r>
      <w:r w:rsidRPr="009A58E9">
        <w:tab/>
      </w:r>
      <w:r w:rsidRPr="009A58E9">
        <w:rPr>
          <w:i/>
        </w:rPr>
        <w:t>The Life of the Mind</w:t>
      </w:r>
      <w:r w:rsidRPr="009A58E9">
        <w:t xml:space="preserve">. New York: Harcourt Brace </w:t>
      </w:r>
      <w:proofErr w:type="spellStart"/>
      <w:r w:rsidRPr="009A58E9">
        <w:t>Janovich</w:t>
      </w:r>
      <w:proofErr w:type="spellEnd"/>
      <w:r w:rsidRPr="009A58E9">
        <w:t>. (LM)</w:t>
      </w:r>
    </w:p>
    <w:p w14:paraId="12755E20" w14:textId="10E469C3" w:rsidR="007456CE" w:rsidRDefault="007456CE" w:rsidP="00234A31">
      <w:pPr>
        <w:pStyle w:val="Work"/>
      </w:pPr>
      <w:r w:rsidRPr="009A58E9">
        <w:t>2000</w:t>
      </w:r>
      <w:r w:rsidRPr="009A58E9">
        <w:tab/>
        <w:t xml:space="preserve">“A Reply to Eric </w:t>
      </w:r>
      <w:proofErr w:type="spellStart"/>
      <w:r w:rsidRPr="009A58E9">
        <w:t>Voegelin</w:t>
      </w:r>
      <w:proofErr w:type="spellEnd"/>
      <w:r w:rsidRPr="009A58E9">
        <w:t xml:space="preserve">.”  </w:t>
      </w:r>
      <w:r w:rsidRPr="009A58E9">
        <w:rPr>
          <w:i/>
        </w:rPr>
        <w:t xml:space="preserve">The Portable Hannah Arendt. </w:t>
      </w:r>
      <w:r w:rsidRPr="009A58E9">
        <w:t xml:space="preserve"> Edited by Peter </w:t>
      </w:r>
      <w:proofErr w:type="spellStart"/>
      <w:r w:rsidRPr="009A58E9">
        <w:t>Baehr</w:t>
      </w:r>
      <w:proofErr w:type="spellEnd"/>
      <w:r w:rsidRPr="009A58E9">
        <w:t>.  New York: Penguin Books).</w:t>
      </w:r>
      <w:r w:rsidRPr="009A58E9">
        <w:rPr>
          <w:i/>
        </w:rPr>
        <w:t xml:space="preserve">  </w:t>
      </w:r>
      <w:r w:rsidRPr="009A58E9">
        <w:t>(Reply)</w:t>
      </w:r>
    </w:p>
    <w:p w14:paraId="6D4E48D9" w14:textId="77777777" w:rsidR="007456CE" w:rsidRDefault="007456CE" w:rsidP="00234A31">
      <w:pPr>
        <w:pStyle w:val="Work"/>
        <w:ind w:left="0" w:firstLine="0"/>
      </w:pPr>
      <w:r w:rsidRPr="00746C56">
        <w:t xml:space="preserve">Benhabib, </w:t>
      </w:r>
      <w:proofErr w:type="spellStart"/>
      <w:r w:rsidRPr="00746C56">
        <w:t>Seyla</w:t>
      </w:r>
      <w:proofErr w:type="spellEnd"/>
      <w:r w:rsidRPr="00746C56">
        <w:t xml:space="preserve">  </w:t>
      </w:r>
    </w:p>
    <w:p w14:paraId="7D0CFD53" w14:textId="25BA2ACB" w:rsidR="00AE060E" w:rsidRDefault="00AE060E" w:rsidP="00234A31">
      <w:pPr>
        <w:pStyle w:val="Work"/>
      </w:pPr>
      <w:r>
        <w:t>2000</w:t>
      </w:r>
      <w:r>
        <w:tab/>
      </w:r>
      <w:r w:rsidRPr="00AE060E">
        <w:rPr>
          <w:i/>
        </w:rPr>
        <w:t>The Reluctant Modernism of Hannah Arendt</w:t>
      </w:r>
      <w:r>
        <w:t xml:space="preserve">. Lanham, MD: </w:t>
      </w:r>
      <w:proofErr w:type="spellStart"/>
      <w:r>
        <w:t>Rowman</w:t>
      </w:r>
      <w:proofErr w:type="spellEnd"/>
      <w:r>
        <w:t xml:space="preserve"> &amp; Littlefield.</w:t>
      </w:r>
    </w:p>
    <w:p w14:paraId="58749550" w14:textId="77777777" w:rsidR="007026E3" w:rsidRDefault="007026E3" w:rsidP="007026E3">
      <w:pPr>
        <w:pStyle w:val="EndnoteText"/>
        <w:ind w:left="720" w:hanging="720"/>
        <w:rPr>
          <w:sz w:val="20"/>
        </w:rPr>
      </w:pPr>
      <w:r>
        <w:rPr>
          <w:sz w:val="20"/>
        </w:rPr>
        <w:t>Bush, George W.</w:t>
      </w:r>
      <w:r w:rsidRPr="00746C56">
        <w:rPr>
          <w:sz w:val="20"/>
        </w:rPr>
        <w:t xml:space="preserve"> </w:t>
      </w:r>
    </w:p>
    <w:p w14:paraId="4CFED589" w14:textId="72087620" w:rsidR="007456CE" w:rsidRDefault="007026E3" w:rsidP="00234A31">
      <w:pPr>
        <w:pStyle w:val="Work"/>
      </w:pPr>
      <w:r w:rsidRPr="00746C56">
        <w:t>2004</w:t>
      </w:r>
      <w:r w:rsidR="00D63D3D">
        <w:tab/>
      </w:r>
      <w:r w:rsidRPr="00746C56">
        <w:t>“President Bush Announces New Vision for Space Explo</w:t>
      </w:r>
      <w:r w:rsidR="00037DD8">
        <w:t>ration Program,” 14 January.</w:t>
      </w:r>
      <w:r w:rsidRPr="00746C56">
        <w:t xml:space="preserve"> </w:t>
      </w:r>
      <w:proofErr w:type="gramStart"/>
      <w:r w:rsidRPr="00746C56">
        <w:t>www.whitehouse.gov</w:t>
      </w:r>
      <w:proofErr w:type="gramEnd"/>
      <w:r w:rsidRPr="00746C56">
        <w:t>/news/releases/2004/01.</w:t>
      </w:r>
    </w:p>
    <w:p w14:paraId="34FDB13A" w14:textId="77777777" w:rsidR="007456CE" w:rsidRPr="009A58E9" w:rsidRDefault="007456CE" w:rsidP="007456CE">
      <w:pPr>
        <w:pStyle w:val="Author"/>
      </w:pPr>
      <w:r w:rsidRPr="009A58E9">
        <w:t>Canovan, Margaret</w:t>
      </w:r>
    </w:p>
    <w:p w14:paraId="581EEC7F" w14:textId="35639A15" w:rsidR="00BA7810" w:rsidRDefault="007456CE" w:rsidP="00BA7810">
      <w:pPr>
        <w:pStyle w:val="Work"/>
      </w:pPr>
      <w:r w:rsidRPr="009A58E9">
        <w:t>1992</w:t>
      </w:r>
      <w:r w:rsidRPr="009A58E9">
        <w:tab/>
        <w:t>Hannah Arendt:  A Reinterpretation of her Political Thought.  New York: Cambridge University Press.</w:t>
      </w:r>
    </w:p>
    <w:p w14:paraId="491AD838" w14:textId="77777777" w:rsidR="00BA7810" w:rsidRDefault="00BA7810" w:rsidP="00BA7810">
      <w:pPr>
        <w:pStyle w:val="Work"/>
      </w:pPr>
    </w:p>
    <w:p w14:paraId="25E5A5DA" w14:textId="77777777" w:rsidR="00BA7810" w:rsidRDefault="00BA7810" w:rsidP="00BA7810">
      <w:pPr>
        <w:pStyle w:val="Work"/>
      </w:pPr>
      <w:bookmarkStart w:id="0" w:name="_GoBack"/>
      <w:bookmarkEnd w:id="0"/>
    </w:p>
    <w:p w14:paraId="00E7D3F1" w14:textId="77777777" w:rsidR="007026E3" w:rsidRDefault="007026E3" w:rsidP="00234A31">
      <w:pPr>
        <w:pStyle w:val="Work"/>
        <w:ind w:left="0" w:firstLine="0"/>
      </w:pPr>
      <w:proofErr w:type="spellStart"/>
      <w:proofErr w:type="gramStart"/>
      <w:r>
        <w:t>Cherbonnier</w:t>
      </w:r>
      <w:proofErr w:type="spellEnd"/>
      <w:r>
        <w:t xml:space="preserve">, Edmond </w:t>
      </w:r>
      <w:proofErr w:type="spellStart"/>
      <w:r>
        <w:t>LaB.</w:t>
      </w:r>
      <w:proofErr w:type="spellEnd"/>
      <w:proofErr w:type="gramEnd"/>
      <w:r>
        <w:t xml:space="preserve">  </w:t>
      </w:r>
    </w:p>
    <w:p w14:paraId="4D3D9F6A" w14:textId="1167F54D" w:rsidR="001C735B" w:rsidRPr="00746C56" w:rsidRDefault="007026E3" w:rsidP="00234A31">
      <w:pPr>
        <w:pStyle w:val="Work"/>
      </w:pPr>
      <w:r>
        <w:t>1957</w:t>
      </w:r>
      <w:r>
        <w:tab/>
        <w:t xml:space="preserve">“Biblical Faith and the Idea of Tragedy.”  In </w:t>
      </w:r>
      <w:r>
        <w:rPr>
          <w:i/>
        </w:rPr>
        <w:t>The Tragic Vision and the Christian Faith</w:t>
      </w:r>
      <w:r>
        <w:t xml:space="preserve">.  Edited by Nathan A. Scott.  New York: Association Press. </w:t>
      </w:r>
    </w:p>
    <w:p w14:paraId="6AE16E27" w14:textId="77777777" w:rsidR="008815BB" w:rsidRPr="009E2EC1" w:rsidRDefault="008815BB" w:rsidP="008815BB">
      <w:pPr>
        <w:pStyle w:val="Author"/>
      </w:pPr>
      <w:proofErr w:type="spellStart"/>
      <w:r>
        <w:t>Disch</w:t>
      </w:r>
      <w:proofErr w:type="spellEnd"/>
      <w:r>
        <w:t>, Lisa Jane</w:t>
      </w:r>
    </w:p>
    <w:p w14:paraId="2686D7B7" w14:textId="41BCB07A" w:rsidR="008815BB" w:rsidRPr="009E2EC1" w:rsidRDefault="008815BB" w:rsidP="00234A31">
      <w:pPr>
        <w:pStyle w:val="Work"/>
      </w:pPr>
      <w:r w:rsidRPr="009E2EC1">
        <w:t>1994</w:t>
      </w:r>
      <w:r w:rsidRPr="009E2EC1">
        <w:tab/>
      </w:r>
      <w:r w:rsidRPr="009E2EC1">
        <w:rPr>
          <w:i/>
        </w:rPr>
        <w:t>Hannah Arendt and the Limits of Philosophy</w:t>
      </w:r>
      <w:r w:rsidRPr="009E2EC1">
        <w:t xml:space="preserve">.  </w:t>
      </w:r>
      <w:proofErr w:type="spellStart"/>
      <w:r>
        <w:t>Ithica</w:t>
      </w:r>
      <w:proofErr w:type="spellEnd"/>
      <w:r>
        <w:t>, NY:  Cornell University Press</w:t>
      </w:r>
    </w:p>
    <w:p w14:paraId="1E0E42FA" w14:textId="77777777" w:rsidR="008815BB" w:rsidRDefault="008815BB" w:rsidP="008815BB">
      <w:pPr>
        <w:pStyle w:val="Author"/>
      </w:pPr>
      <w:proofErr w:type="spellStart"/>
      <w:r>
        <w:t>Drucker</w:t>
      </w:r>
      <w:proofErr w:type="spellEnd"/>
      <w:r>
        <w:t>, Claudia</w:t>
      </w:r>
    </w:p>
    <w:p w14:paraId="365F8B80" w14:textId="77777777" w:rsidR="007026E3" w:rsidRDefault="008815BB" w:rsidP="00234A31">
      <w:pPr>
        <w:pStyle w:val="Work"/>
      </w:pPr>
      <w:r>
        <w:t>1998</w:t>
      </w:r>
      <w:r>
        <w:tab/>
        <w:t xml:space="preserve">“Hannah Arendt on the Need for a public Debate on Science.”  </w:t>
      </w:r>
      <w:r>
        <w:rPr>
          <w:i/>
        </w:rPr>
        <w:t>Environmental Ethics</w:t>
      </w:r>
      <w:r>
        <w:t xml:space="preserve">, v. 20, n. 3 </w:t>
      </w:r>
      <w:proofErr w:type="gramStart"/>
      <w:r>
        <w:t>Fall</w:t>
      </w:r>
      <w:proofErr w:type="gramEnd"/>
      <w:r>
        <w:t xml:space="preserve"> 305-316</w:t>
      </w:r>
      <w:r w:rsidR="007026E3">
        <w:t>.</w:t>
      </w:r>
    </w:p>
    <w:p w14:paraId="5BE2A843" w14:textId="77777777" w:rsidR="007026E3" w:rsidRDefault="007026E3" w:rsidP="00234A31">
      <w:pPr>
        <w:pStyle w:val="Work"/>
      </w:pPr>
    </w:p>
    <w:p w14:paraId="215DF16D" w14:textId="77777777" w:rsidR="007026E3" w:rsidRDefault="007026E3" w:rsidP="00234A31">
      <w:pPr>
        <w:pStyle w:val="Work"/>
        <w:ind w:left="0" w:firstLine="0"/>
      </w:pPr>
      <w:r>
        <w:t>Humphreys, W. Lee</w:t>
      </w:r>
    </w:p>
    <w:p w14:paraId="3E446D39" w14:textId="6394AE02" w:rsidR="008815BB" w:rsidRDefault="007026E3" w:rsidP="00234A31">
      <w:pPr>
        <w:pStyle w:val="Work"/>
      </w:pPr>
      <w:r>
        <w:t>1985</w:t>
      </w:r>
      <w:r>
        <w:tab/>
      </w:r>
      <w:r>
        <w:rPr>
          <w:i/>
        </w:rPr>
        <w:t>Tragic Vision and the Hebrew Bible</w:t>
      </w:r>
      <w:r>
        <w:t>.  Philadelphia:  Fortress Press.</w:t>
      </w:r>
    </w:p>
    <w:p w14:paraId="621EFD2B" w14:textId="77777777" w:rsidR="008815BB" w:rsidRDefault="001C735B" w:rsidP="00234A31">
      <w:pPr>
        <w:pStyle w:val="Work"/>
        <w:ind w:left="0" w:firstLine="0"/>
      </w:pPr>
      <w:r w:rsidRPr="00746C56">
        <w:t>Kennedy, John F.</w:t>
      </w:r>
    </w:p>
    <w:p w14:paraId="2EA02DA2" w14:textId="3F1F66E0" w:rsidR="00037D5C" w:rsidRPr="00746C56" w:rsidRDefault="001C735B" w:rsidP="00234A31">
      <w:pPr>
        <w:pStyle w:val="Work"/>
      </w:pPr>
      <w:proofErr w:type="gramStart"/>
      <w:r w:rsidRPr="00746C56">
        <w:t>1962</w:t>
      </w:r>
      <w:r w:rsidR="008815BB">
        <w:tab/>
      </w:r>
      <w:r w:rsidRPr="00746C56">
        <w:t xml:space="preserve"> “Rice Stadium M</w:t>
      </w:r>
      <w:r w:rsidR="00037DD8">
        <w:t xml:space="preserve">oon Speech,” 12 September 1962, </w:t>
      </w:r>
      <w:r w:rsidRPr="00746C56">
        <w:t>http://vesuvius.jsc.nasa.gov/er/she/ricetalk.html.</w:t>
      </w:r>
      <w:proofErr w:type="gramEnd"/>
      <w:r w:rsidR="00037D5C" w:rsidRPr="00746C56">
        <w:t xml:space="preserve"> </w:t>
      </w:r>
    </w:p>
    <w:p w14:paraId="52EA763A" w14:textId="77777777" w:rsidR="008815BB" w:rsidRDefault="008815BB" w:rsidP="00234A31">
      <w:pPr>
        <w:pStyle w:val="Work"/>
        <w:ind w:left="0" w:firstLine="0"/>
      </w:pPr>
      <w:proofErr w:type="spellStart"/>
      <w:r>
        <w:t>Killiam</w:t>
      </w:r>
      <w:proofErr w:type="spellEnd"/>
      <w:r>
        <w:t>, James</w:t>
      </w:r>
    </w:p>
    <w:p w14:paraId="7058322C" w14:textId="5DD2A643" w:rsidR="001C735B" w:rsidRPr="00746C56" w:rsidRDefault="001C735B" w:rsidP="00234A31">
      <w:pPr>
        <w:pStyle w:val="Work"/>
      </w:pPr>
      <w:r w:rsidRPr="00746C56">
        <w:t>1958</w:t>
      </w:r>
      <w:r w:rsidR="008815BB">
        <w:tab/>
      </w:r>
      <w:r w:rsidRPr="00746C56">
        <w:t>The President’s Science Advisory Committee, “Introduction to Outer Space,” 26 March 1958, NASA Historical Reference Collection, NASA History Office, NASA Headquarters, Washington D.C. www.hq.nasa.gov/ office/</w:t>
      </w:r>
      <w:proofErr w:type="spellStart"/>
      <w:r w:rsidRPr="00746C56">
        <w:t>pao</w:t>
      </w:r>
      <w:proofErr w:type="spellEnd"/>
      <w:r w:rsidRPr="00746C56">
        <w:t>/History/monograph10/ document/html.</w:t>
      </w:r>
    </w:p>
    <w:p w14:paraId="65AF8C85" w14:textId="77777777" w:rsidR="008815BB" w:rsidRDefault="008815BB" w:rsidP="00234A31">
      <w:pPr>
        <w:pStyle w:val="Work"/>
        <w:ind w:left="0" w:firstLine="0"/>
      </w:pPr>
      <w:r>
        <w:t>Mars Society</w:t>
      </w:r>
    </w:p>
    <w:p w14:paraId="7754F66B" w14:textId="12B68D1D" w:rsidR="001C735B" w:rsidRPr="00746C56" w:rsidRDefault="001C735B" w:rsidP="00234A31">
      <w:pPr>
        <w:pStyle w:val="Work"/>
      </w:pPr>
      <w:r w:rsidRPr="00746C56">
        <w:t>1998</w:t>
      </w:r>
      <w:r w:rsidR="008815BB">
        <w:tab/>
      </w:r>
      <w:r w:rsidRPr="00746C56">
        <w:t xml:space="preserve"> “Founding Declaration of the Mars Society,” Boulder, Colorado, 13-16 August, 1998, www.marssociety.org/about/founding_declaration.asp</w:t>
      </w:r>
    </w:p>
    <w:p w14:paraId="23FE240C" w14:textId="77777777" w:rsidR="008815BB" w:rsidRDefault="008815BB" w:rsidP="00234A31">
      <w:pPr>
        <w:pStyle w:val="Work"/>
        <w:ind w:left="0" w:firstLine="0"/>
      </w:pPr>
      <w:r>
        <w:t>Smith, Michael L.</w:t>
      </w:r>
    </w:p>
    <w:p w14:paraId="43D2ACA0" w14:textId="39864C21" w:rsidR="001C735B" w:rsidRDefault="001C735B" w:rsidP="00234A31">
      <w:pPr>
        <w:pStyle w:val="Work"/>
      </w:pPr>
      <w:r w:rsidRPr="00746C56">
        <w:t>1983</w:t>
      </w:r>
      <w:r w:rsidR="008815BB">
        <w:tab/>
      </w:r>
      <w:r w:rsidRPr="00746C56">
        <w:t xml:space="preserve"> “Selling the Moon,” in </w:t>
      </w:r>
      <w:r w:rsidRPr="00746C56">
        <w:rPr>
          <w:i/>
        </w:rPr>
        <w:t>The Culture of Consumption</w:t>
      </w:r>
      <w:r w:rsidRPr="00746C56">
        <w:t xml:space="preserve">, ed. by Richard Fox </w:t>
      </w:r>
      <w:proofErr w:type="gramStart"/>
      <w:r w:rsidRPr="00746C56">
        <w:t>an</w:t>
      </w:r>
      <w:proofErr w:type="gramEnd"/>
      <w:r w:rsidRPr="00746C56">
        <w:t xml:space="preserve"> T. J. Jac</w:t>
      </w:r>
      <w:r w:rsidR="00AE060E">
        <w:t xml:space="preserve">kson </w:t>
      </w:r>
      <w:proofErr w:type="spellStart"/>
      <w:r w:rsidR="00AE060E">
        <w:t>Lears</w:t>
      </w:r>
      <w:proofErr w:type="spellEnd"/>
      <w:r w:rsidR="00AE060E">
        <w:t>. NY: Pantheon Books</w:t>
      </w:r>
      <w:r w:rsidRPr="00746C56">
        <w:t>.</w:t>
      </w:r>
    </w:p>
    <w:p w14:paraId="15CD915C" w14:textId="77777777" w:rsidR="008815BB" w:rsidRDefault="001C735B" w:rsidP="00234A31">
      <w:pPr>
        <w:pStyle w:val="Work"/>
        <w:ind w:left="0" w:firstLine="0"/>
      </w:pPr>
      <w:r w:rsidRPr="00746C56">
        <w:t>Vaughan, Diane</w:t>
      </w:r>
    </w:p>
    <w:p w14:paraId="2B155775" w14:textId="32BA753E" w:rsidR="008815BB" w:rsidRDefault="001C735B" w:rsidP="00234A31">
      <w:pPr>
        <w:pStyle w:val="Work"/>
      </w:pPr>
      <w:r w:rsidRPr="00746C56">
        <w:t>1996</w:t>
      </w:r>
      <w:r w:rsidR="008815BB">
        <w:tab/>
      </w:r>
      <w:r w:rsidRPr="00746C56">
        <w:rPr>
          <w:i/>
        </w:rPr>
        <w:t>The Challenger Launch Decision</w:t>
      </w:r>
      <w:r w:rsidR="00AE060E">
        <w:t xml:space="preserve">. </w:t>
      </w:r>
      <w:r w:rsidRPr="00746C56">
        <w:t>Chicago: Uni</w:t>
      </w:r>
      <w:r w:rsidR="00AE060E">
        <w:t>versity of Chicago Press.</w:t>
      </w:r>
    </w:p>
    <w:p w14:paraId="01C61305" w14:textId="77777777" w:rsidR="008815BB" w:rsidRDefault="001C735B" w:rsidP="00234A31">
      <w:pPr>
        <w:pStyle w:val="Work"/>
        <w:ind w:left="0" w:firstLine="0"/>
      </w:pPr>
      <w:proofErr w:type="spellStart"/>
      <w:r w:rsidRPr="00746C56">
        <w:t>Zubin</w:t>
      </w:r>
      <w:proofErr w:type="spellEnd"/>
      <w:r w:rsidRPr="00746C56">
        <w:t>, Robert</w:t>
      </w:r>
    </w:p>
    <w:p w14:paraId="2CE0B8CB" w14:textId="5E74E064" w:rsidR="001C735B" w:rsidRPr="00746C56" w:rsidRDefault="001C735B" w:rsidP="00234A31">
      <w:pPr>
        <w:pStyle w:val="Work"/>
      </w:pPr>
      <w:r w:rsidRPr="00746C56">
        <w:t>1996</w:t>
      </w:r>
      <w:r w:rsidR="008815BB">
        <w:tab/>
      </w:r>
      <w:r w:rsidRPr="00746C56">
        <w:rPr>
          <w:i/>
        </w:rPr>
        <w:t>The Case for Mars</w:t>
      </w:r>
      <w:r w:rsidR="00AE060E">
        <w:t>. NY: Touchstone</w:t>
      </w:r>
      <w:r w:rsidRPr="00746C56">
        <w:t>.</w:t>
      </w:r>
    </w:p>
    <w:sectPr w:rsidR="001C735B" w:rsidRPr="00746C56" w:rsidSect="007A0563">
      <w:footerReference w:type="even" r:id="rId8"/>
      <w:footerReference w:type="default" r:id="rId9"/>
      <w:pgSz w:w="12240" w:h="15840"/>
      <w:pgMar w:top="1440" w:right="4320" w:bottom="36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5B5C" w14:textId="77777777" w:rsidR="00D63D3D" w:rsidRDefault="00D63D3D" w:rsidP="002E4099">
      <w:pPr>
        <w:spacing w:line="240" w:lineRule="auto"/>
      </w:pPr>
      <w:r>
        <w:separator/>
      </w:r>
    </w:p>
  </w:endnote>
  <w:endnote w:type="continuationSeparator" w:id="0">
    <w:p w14:paraId="3F3E8462" w14:textId="77777777" w:rsidR="00D63D3D" w:rsidRDefault="00D63D3D" w:rsidP="002E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BF53D" w14:textId="77777777" w:rsidR="00D63D3D" w:rsidRDefault="00D63D3D" w:rsidP="00822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293C7" w14:textId="77777777" w:rsidR="00D63D3D" w:rsidRDefault="00D63D3D" w:rsidP="00822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2A5D" w14:textId="77777777" w:rsidR="00D63D3D" w:rsidRDefault="00D63D3D" w:rsidP="00822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810">
      <w:rPr>
        <w:rStyle w:val="PageNumber"/>
        <w:noProof/>
      </w:rPr>
      <w:t>23</w:t>
    </w:r>
    <w:r>
      <w:rPr>
        <w:rStyle w:val="PageNumber"/>
      </w:rPr>
      <w:fldChar w:fldCharType="end"/>
    </w:r>
  </w:p>
  <w:p w14:paraId="2D5EA232" w14:textId="77777777" w:rsidR="00D63D3D" w:rsidRDefault="00D63D3D" w:rsidP="008224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2299A" w14:textId="77777777" w:rsidR="00D63D3D" w:rsidRDefault="00D63D3D" w:rsidP="002E4099">
      <w:pPr>
        <w:spacing w:line="240" w:lineRule="auto"/>
      </w:pPr>
      <w:r>
        <w:separator/>
      </w:r>
    </w:p>
  </w:footnote>
  <w:footnote w:type="continuationSeparator" w:id="0">
    <w:p w14:paraId="694944F7" w14:textId="77777777" w:rsidR="00D63D3D" w:rsidRDefault="00D63D3D" w:rsidP="002E4099">
      <w:pPr>
        <w:spacing w:line="240" w:lineRule="auto"/>
      </w:pPr>
      <w:r>
        <w:continuationSeparator/>
      </w:r>
    </w:p>
  </w:footnote>
  <w:footnote w:id="1">
    <w:p w14:paraId="38C6019E" w14:textId="31EE997A" w:rsidR="00D63D3D" w:rsidRDefault="00D63D3D">
      <w:pPr>
        <w:pStyle w:val="FootnoteText"/>
      </w:pPr>
      <w:r>
        <w:rPr>
          <w:rStyle w:val="FootnoteReference"/>
        </w:rPr>
        <w:footnoteRef/>
      </w:r>
      <w:r>
        <w:t xml:space="preserve"> </w:t>
      </w:r>
      <w:r>
        <w:tab/>
        <w:t>HC: 1</w:t>
      </w:r>
      <w:r>
        <w:rPr>
          <w:i/>
        </w:rPr>
        <w:t>.</w:t>
      </w:r>
    </w:p>
  </w:footnote>
  <w:footnote w:id="2">
    <w:p w14:paraId="4BC0471E" w14:textId="3864337E" w:rsidR="00D63D3D" w:rsidRDefault="00D63D3D">
      <w:pPr>
        <w:pStyle w:val="FootnoteText"/>
      </w:pPr>
      <w:r>
        <w:rPr>
          <w:rStyle w:val="FootnoteReference"/>
        </w:rPr>
        <w:footnoteRef/>
      </w:r>
      <w:r>
        <w:t xml:space="preserve"> </w:t>
      </w:r>
      <w:r>
        <w:tab/>
        <w:t>HC: 3.</w:t>
      </w:r>
    </w:p>
  </w:footnote>
  <w:footnote w:id="3">
    <w:p w14:paraId="54333E34" w14:textId="481F98ED" w:rsidR="00D63D3D" w:rsidRDefault="00D63D3D" w:rsidP="00E47286">
      <w:pPr>
        <w:pStyle w:val="FootnoteText"/>
      </w:pPr>
      <w:r>
        <w:rPr>
          <w:rStyle w:val="FootnoteReference"/>
        </w:rPr>
        <w:footnoteRef/>
      </w:r>
      <w:r>
        <w:t xml:space="preserve"> </w:t>
      </w:r>
      <w:r>
        <w:tab/>
        <w:t xml:space="preserve">Hannah Arendt uses the term </w:t>
      </w:r>
      <w:r w:rsidRPr="000E2D97">
        <w:rPr>
          <w:i/>
        </w:rPr>
        <w:t>the world</w:t>
      </w:r>
      <w:r>
        <w:t xml:space="preserve"> in a very specific way, to refer to the long-lasting</w:t>
      </w:r>
      <w:r w:rsidRPr="00003AC3">
        <w:t>, human construction that includes artifacts such as bridges, farms, buildings, artwork,</w:t>
      </w:r>
      <w:r>
        <w:t xml:space="preserve"> poetry, shrines and constitutions along with less </w:t>
      </w:r>
      <w:r w:rsidRPr="00003AC3">
        <w:t xml:space="preserve">tangible products of organization, such as bureaucracies, </w:t>
      </w:r>
      <w:r>
        <w:t xml:space="preserve">states and </w:t>
      </w:r>
      <w:r w:rsidRPr="00003AC3">
        <w:t>religious traditions. Margaret Canovan suggests that a “large element of what [Arendt] understands by ‘world’ can be summed up under the heading of culture,” both material and nonmaterial.</w:t>
      </w:r>
      <w:r>
        <w:t xml:space="preserve"> (Reinterpretation, 109)</w:t>
      </w:r>
      <w:r w:rsidRPr="00003AC3">
        <w:t xml:space="preserve"> The world</w:t>
      </w:r>
      <w:r>
        <w:t xml:space="preserve"> provides a durable, and stable context for human activities, providing a sense of collective identity and, in certain conditions, creating the possibility for judgment and collective action. </w:t>
      </w:r>
      <w:r w:rsidRPr="00003AC3">
        <w:t>The world is to the public what the household is to the private, an “artifice of man-made objects and institutions that provides human beings with a permanent home.”</w:t>
      </w:r>
      <w:r>
        <w:t xml:space="preserve"> (Reinterpretation, 80)</w:t>
      </w:r>
    </w:p>
  </w:footnote>
  <w:footnote w:id="4">
    <w:p w14:paraId="4913CA7A" w14:textId="798C6986" w:rsidR="00D63D3D" w:rsidRDefault="00D63D3D">
      <w:pPr>
        <w:pStyle w:val="FootnoteText"/>
      </w:pPr>
      <w:r>
        <w:rPr>
          <w:rStyle w:val="FootnoteReference"/>
        </w:rPr>
        <w:footnoteRef/>
      </w:r>
      <w:r>
        <w:t xml:space="preserve"> </w:t>
      </w:r>
      <w:r>
        <w:tab/>
        <w:t xml:space="preserve">HC: 3. </w:t>
      </w:r>
    </w:p>
  </w:footnote>
  <w:footnote w:id="5">
    <w:p w14:paraId="1605BDA7" w14:textId="4B454F02" w:rsidR="00D63D3D" w:rsidRDefault="00D63D3D">
      <w:pPr>
        <w:pStyle w:val="FootnoteText"/>
      </w:pPr>
      <w:r>
        <w:rPr>
          <w:rStyle w:val="FootnoteReference"/>
        </w:rPr>
        <w:footnoteRef/>
      </w:r>
      <w:r>
        <w:t xml:space="preserve"> </w:t>
      </w:r>
      <w:r>
        <w:tab/>
        <w:t>HC: 3</w:t>
      </w:r>
    </w:p>
  </w:footnote>
  <w:footnote w:id="6">
    <w:p w14:paraId="4EEAB722" w14:textId="54CD2F72" w:rsidR="00D63D3D" w:rsidRDefault="00D63D3D">
      <w:pPr>
        <w:pStyle w:val="FootnoteText"/>
      </w:pPr>
      <w:r>
        <w:rPr>
          <w:rStyle w:val="FootnoteReference"/>
        </w:rPr>
        <w:footnoteRef/>
      </w:r>
      <w:r>
        <w:t xml:space="preserve"> </w:t>
      </w:r>
      <w:r>
        <w:tab/>
        <w:t>HC: 4.</w:t>
      </w:r>
    </w:p>
  </w:footnote>
  <w:footnote w:id="7">
    <w:p w14:paraId="7EF975A7" w14:textId="72FF7CEF" w:rsidR="00D63D3D" w:rsidRDefault="00D63D3D" w:rsidP="00064649">
      <w:pPr>
        <w:pStyle w:val="FootnoteText"/>
      </w:pPr>
      <w:r>
        <w:rPr>
          <w:rStyle w:val="FootnoteReference"/>
        </w:rPr>
        <w:footnoteRef/>
      </w:r>
      <w:r>
        <w:t xml:space="preserve"> </w:t>
      </w:r>
      <w:r>
        <w:tab/>
      </w:r>
      <w:r w:rsidRPr="009A58E9">
        <w:t>CSSM</w:t>
      </w:r>
      <w:r>
        <w:t xml:space="preserve">: 269, quoting Erwin </w:t>
      </w:r>
      <w:r w:rsidRPr="00BE195D">
        <w:t>Schrödinger</w:t>
      </w:r>
      <w:r>
        <w:t xml:space="preserve"> and </w:t>
      </w:r>
      <w:proofErr w:type="spellStart"/>
      <w:r>
        <w:t>Niels</w:t>
      </w:r>
      <w:proofErr w:type="spellEnd"/>
      <w:r>
        <w:t xml:space="preserve"> Bohr.</w:t>
      </w:r>
    </w:p>
  </w:footnote>
  <w:footnote w:id="8">
    <w:p w14:paraId="7E904556" w14:textId="24D22B4C" w:rsidR="00D63D3D" w:rsidRDefault="00D63D3D">
      <w:pPr>
        <w:pStyle w:val="FootnoteText"/>
      </w:pPr>
      <w:r>
        <w:rPr>
          <w:rStyle w:val="FootnoteReference"/>
        </w:rPr>
        <w:footnoteRef/>
      </w:r>
      <w:r>
        <w:t xml:space="preserve"> </w:t>
      </w:r>
      <w:r>
        <w:tab/>
      </w:r>
      <w:r w:rsidRPr="009A58E9">
        <w:t>CSSM</w:t>
      </w:r>
      <w:r>
        <w:t>: 271.</w:t>
      </w:r>
    </w:p>
  </w:footnote>
  <w:footnote w:id="9">
    <w:p w14:paraId="02D97E00" w14:textId="61FF5B50" w:rsidR="00D63D3D" w:rsidRDefault="00D63D3D">
      <w:pPr>
        <w:pStyle w:val="FootnoteText"/>
      </w:pPr>
      <w:r>
        <w:rPr>
          <w:rStyle w:val="FootnoteReference"/>
        </w:rPr>
        <w:footnoteRef/>
      </w:r>
      <w:r>
        <w:t xml:space="preserve"> </w:t>
      </w:r>
      <w:r>
        <w:tab/>
        <w:t>HC: 3-4.</w:t>
      </w:r>
    </w:p>
  </w:footnote>
  <w:footnote w:id="10">
    <w:p w14:paraId="58989C74" w14:textId="77777777" w:rsidR="00D63D3D" w:rsidRDefault="00D63D3D" w:rsidP="00CF2583">
      <w:pPr>
        <w:pStyle w:val="FootnoteText"/>
      </w:pPr>
      <w:r>
        <w:rPr>
          <w:rStyle w:val="FootnoteReference"/>
        </w:rPr>
        <w:footnoteRef/>
      </w:r>
      <w:r>
        <w:t xml:space="preserve"> </w:t>
      </w:r>
      <w:r>
        <w:tab/>
        <w:t>HC: 4.</w:t>
      </w:r>
    </w:p>
  </w:footnote>
  <w:footnote w:id="11">
    <w:p w14:paraId="5EFB4D03" w14:textId="4114848E" w:rsidR="00D63D3D" w:rsidRDefault="00D63D3D">
      <w:pPr>
        <w:pStyle w:val="FootnoteText"/>
      </w:pPr>
      <w:r>
        <w:rPr>
          <w:rStyle w:val="FootnoteReference"/>
        </w:rPr>
        <w:footnoteRef/>
      </w:r>
      <w:r>
        <w:t xml:space="preserve"> </w:t>
      </w:r>
      <w:r>
        <w:tab/>
        <w:t>HC: 4.</w:t>
      </w:r>
    </w:p>
  </w:footnote>
  <w:footnote w:id="12">
    <w:p w14:paraId="18292B57" w14:textId="033A110B" w:rsidR="00D63D3D" w:rsidRDefault="00D63D3D">
      <w:pPr>
        <w:pStyle w:val="FootnoteText"/>
      </w:pPr>
      <w:r>
        <w:rPr>
          <w:rStyle w:val="FootnoteReference"/>
        </w:rPr>
        <w:footnoteRef/>
      </w:r>
      <w:r>
        <w:t xml:space="preserve"> </w:t>
      </w:r>
      <w:r>
        <w:tab/>
        <w:t>WA: 95.</w:t>
      </w:r>
    </w:p>
  </w:footnote>
  <w:footnote w:id="13">
    <w:p w14:paraId="59B41795" w14:textId="25AEE38C" w:rsidR="00D63D3D" w:rsidRDefault="00D63D3D">
      <w:pPr>
        <w:pStyle w:val="FootnoteText"/>
      </w:pPr>
      <w:r>
        <w:rPr>
          <w:rStyle w:val="FootnoteReference"/>
        </w:rPr>
        <w:footnoteRef/>
      </w:r>
      <w:r>
        <w:t xml:space="preserve"> </w:t>
      </w:r>
      <w:r>
        <w:tab/>
        <w:t>UP: 385.</w:t>
      </w:r>
    </w:p>
  </w:footnote>
  <w:footnote w:id="14">
    <w:p w14:paraId="3CBC6BE1" w14:textId="0C526965" w:rsidR="00D63D3D" w:rsidRDefault="00D63D3D">
      <w:pPr>
        <w:pStyle w:val="FootnoteText"/>
      </w:pPr>
      <w:r>
        <w:rPr>
          <w:rStyle w:val="FootnoteReference"/>
        </w:rPr>
        <w:footnoteRef/>
      </w:r>
      <w:r>
        <w:t xml:space="preserve"> </w:t>
      </w:r>
      <w:r>
        <w:tab/>
        <w:t>BPF: 26.</w:t>
      </w:r>
    </w:p>
  </w:footnote>
  <w:footnote w:id="15">
    <w:p w14:paraId="1040EA43" w14:textId="6F89C52C" w:rsidR="00D63D3D" w:rsidRDefault="00D63D3D">
      <w:pPr>
        <w:pStyle w:val="FootnoteText"/>
      </w:pPr>
      <w:r>
        <w:rPr>
          <w:rStyle w:val="FootnoteReference"/>
        </w:rPr>
        <w:footnoteRef/>
      </w:r>
      <w:r>
        <w:t xml:space="preserve"> </w:t>
      </w:r>
      <w:r>
        <w:tab/>
        <w:t>UP: 382.</w:t>
      </w:r>
    </w:p>
  </w:footnote>
  <w:footnote w:id="16">
    <w:p w14:paraId="53053E2E" w14:textId="1C7BFDEA" w:rsidR="00D63D3D" w:rsidRDefault="00D63D3D" w:rsidP="00F56AA0">
      <w:pPr>
        <w:pStyle w:val="FootnoteText"/>
      </w:pPr>
      <w:r>
        <w:rPr>
          <w:rStyle w:val="FootnoteReference"/>
        </w:rPr>
        <w:footnoteRef/>
      </w:r>
      <w:r>
        <w:t xml:space="preserve"> </w:t>
      </w:r>
      <w:r>
        <w:tab/>
        <w:t>BPF: 18.</w:t>
      </w:r>
    </w:p>
  </w:footnote>
  <w:footnote w:id="17">
    <w:p w14:paraId="7751C30A" w14:textId="3DF3515D" w:rsidR="00D63D3D" w:rsidRDefault="00D63D3D">
      <w:pPr>
        <w:pStyle w:val="FootnoteText"/>
      </w:pPr>
      <w:r>
        <w:rPr>
          <w:rStyle w:val="FootnoteReference"/>
        </w:rPr>
        <w:footnoteRef/>
      </w:r>
      <w:r>
        <w:t xml:space="preserve"> </w:t>
      </w:r>
      <w:r>
        <w:tab/>
        <w:t>BPF: 31</w:t>
      </w:r>
    </w:p>
  </w:footnote>
  <w:footnote w:id="18">
    <w:p w14:paraId="4D88F8BF" w14:textId="69F4C2A3" w:rsidR="00D63D3D" w:rsidRDefault="00D63D3D">
      <w:pPr>
        <w:pStyle w:val="FootnoteText"/>
      </w:pPr>
      <w:r>
        <w:rPr>
          <w:rStyle w:val="FootnoteReference"/>
        </w:rPr>
        <w:footnoteRef/>
      </w:r>
      <w:r>
        <w:t xml:space="preserve"> </w:t>
      </w:r>
      <w:r>
        <w:tab/>
        <w:t>TMA</w:t>
      </w:r>
      <w:proofErr w:type="gramStart"/>
      <w:r>
        <w:t>,31</w:t>
      </w:r>
      <w:proofErr w:type="gramEnd"/>
      <w:r>
        <w:t>.</w:t>
      </w:r>
    </w:p>
  </w:footnote>
  <w:footnote w:id="19">
    <w:p w14:paraId="0480CA54" w14:textId="0114933A" w:rsidR="00D63D3D" w:rsidRDefault="00D63D3D">
      <w:pPr>
        <w:pStyle w:val="FootnoteText"/>
      </w:pPr>
      <w:r>
        <w:rPr>
          <w:rStyle w:val="FootnoteReference"/>
        </w:rPr>
        <w:footnoteRef/>
      </w:r>
      <w:r>
        <w:t xml:space="preserve"> </w:t>
      </w:r>
      <w:r>
        <w:tab/>
        <w:t>TMA: 39.</w:t>
      </w:r>
    </w:p>
  </w:footnote>
  <w:footnote w:id="20">
    <w:p w14:paraId="0A005EE9" w14:textId="5675FFA2" w:rsidR="00D63D3D" w:rsidRDefault="00D63D3D" w:rsidP="0014213A">
      <w:pPr>
        <w:pStyle w:val="FootnoteText"/>
      </w:pPr>
      <w:r>
        <w:rPr>
          <w:rStyle w:val="FootnoteReference"/>
        </w:rPr>
        <w:footnoteRef/>
      </w:r>
      <w:r>
        <w:t xml:space="preserve"> </w:t>
      </w:r>
      <w:r>
        <w:tab/>
        <w:t>TMA: 39.</w:t>
      </w:r>
    </w:p>
  </w:footnote>
  <w:footnote w:id="21">
    <w:p w14:paraId="33F75FEC" w14:textId="2AFCE87C" w:rsidR="00D63D3D" w:rsidRDefault="00D63D3D">
      <w:pPr>
        <w:pStyle w:val="FootnoteText"/>
      </w:pPr>
      <w:r>
        <w:rPr>
          <w:rStyle w:val="FootnoteReference"/>
        </w:rPr>
        <w:footnoteRef/>
      </w:r>
      <w:r>
        <w:t xml:space="preserve"> </w:t>
      </w:r>
      <w:r>
        <w:tab/>
        <w:t>HC: 3.</w:t>
      </w:r>
    </w:p>
  </w:footnote>
  <w:footnote w:id="22">
    <w:p w14:paraId="0CF94AD6" w14:textId="650AFA12" w:rsidR="00D63D3D" w:rsidRDefault="00D63D3D">
      <w:pPr>
        <w:pStyle w:val="FootnoteText"/>
      </w:pPr>
      <w:r>
        <w:rPr>
          <w:rStyle w:val="FootnoteReference"/>
        </w:rPr>
        <w:footnoteRef/>
      </w:r>
      <w:r>
        <w:t xml:space="preserve"> </w:t>
      </w:r>
      <w:r>
        <w:tab/>
        <w:t>HC: 3.</w:t>
      </w:r>
    </w:p>
  </w:footnote>
  <w:footnote w:id="23">
    <w:p w14:paraId="7C683579" w14:textId="68D6CA62" w:rsidR="00D63D3D" w:rsidRDefault="00D63D3D" w:rsidP="002A4585">
      <w:pPr>
        <w:pStyle w:val="FootnoteText"/>
      </w:pPr>
      <w:r>
        <w:rPr>
          <w:rStyle w:val="FootnoteReference"/>
        </w:rPr>
        <w:footnoteRef/>
      </w:r>
      <w:r>
        <w:t xml:space="preserve"> </w:t>
      </w:r>
      <w:r>
        <w:tab/>
        <w:t>Benhabib</w:t>
      </w:r>
      <w:r w:rsidRPr="006A6220">
        <w:t>: 86</w:t>
      </w:r>
      <w:r>
        <w:t>.</w:t>
      </w:r>
    </w:p>
  </w:footnote>
  <w:footnote w:id="24">
    <w:p w14:paraId="724EBD2A" w14:textId="549D3D83" w:rsidR="00D63D3D" w:rsidRDefault="00D63D3D" w:rsidP="00D54DDE">
      <w:pPr>
        <w:pStyle w:val="FootnoteText"/>
      </w:pPr>
      <w:r>
        <w:rPr>
          <w:rStyle w:val="FootnoteReference"/>
        </w:rPr>
        <w:footnoteRef/>
      </w:r>
      <w:r>
        <w:t xml:space="preserve"> </w:t>
      </w:r>
      <w:r>
        <w:tab/>
      </w:r>
      <w:proofErr w:type="gramStart"/>
      <w:r>
        <w:t>Arendt, “On Hannah Arendt:” 354.</w:t>
      </w:r>
      <w:proofErr w:type="gramEnd"/>
    </w:p>
  </w:footnote>
  <w:footnote w:id="25">
    <w:p w14:paraId="0FAFC3EA" w14:textId="53E89C42" w:rsidR="00D63D3D" w:rsidRDefault="00D63D3D">
      <w:pPr>
        <w:pStyle w:val="FootnoteText"/>
      </w:pPr>
      <w:r>
        <w:rPr>
          <w:rStyle w:val="FootnoteReference"/>
        </w:rPr>
        <w:footnoteRef/>
      </w:r>
      <w:r>
        <w:t xml:space="preserve"> </w:t>
      </w:r>
      <w:r>
        <w:tab/>
      </w:r>
      <w:proofErr w:type="spellStart"/>
      <w:r>
        <w:t>Disch</w:t>
      </w:r>
      <w:proofErr w:type="spellEnd"/>
      <w:r>
        <w:t>: 114</w:t>
      </w:r>
    </w:p>
  </w:footnote>
  <w:footnote w:id="26">
    <w:p w14:paraId="7999B996" w14:textId="52F7EC59" w:rsidR="00D63D3D" w:rsidRDefault="00D63D3D" w:rsidP="00B06955">
      <w:pPr>
        <w:pStyle w:val="FootnoteText"/>
      </w:pPr>
      <w:r>
        <w:rPr>
          <w:rStyle w:val="FootnoteReference"/>
        </w:rPr>
        <w:footnoteRef/>
      </w:r>
      <w:r>
        <w:t xml:space="preserve"> </w:t>
      </w:r>
      <w:r>
        <w:tab/>
        <w:t>MDT</w:t>
      </w:r>
      <w:proofErr w:type="gramStart"/>
      <w:r>
        <w:t>:10</w:t>
      </w:r>
      <w:proofErr w:type="gramEnd"/>
      <w:r>
        <w:t>.</w:t>
      </w:r>
    </w:p>
  </w:footnote>
  <w:footnote w:id="27">
    <w:p w14:paraId="73D9899C" w14:textId="19337ECE" w:rsidR="00D63D3D" w:rsidRDefault="00D63D3D">
      <w:pPr>
        <w:pStyle w:val="FootnoteText"/>
      </w:pPr>
      <w:r>
        <w:rPr>
          <w:rStyle w:val="FootnoteReference"/>
        </w:rPr>
        <w:footnoteRef/>
      </w:r>
      <w:r>
        <w:t xml:space="preserve"> </w:t>
      </w:r>
      <w:r>
        <w:tab/>
        <w:t>BPF: 14.</w:t>
      </w:r>
    </w:p>
  </w:footnote>
  <w:footnote w:id="28">
    <w:p w14:paraId="215E20A8" w14:textId="42BED335" w:rsidR="00D63D3D" w:rsidRDefault="00D63D3D" w:rsidP="002B6B82">
      <w:pPr>
        <w:pStyle w:val="FootnoteText"/>
      </w:pPr>
      <w:r>
        <w:rPr>
          <w:rStyle w:val="FootnoteReference"/>
        </w:rPr>
        <w:footnoteRef/>
      </w:r>
      <w:r>
        <w:t xml:space="preserve"> </w:t>
      </w:r>
      <w:r>
        <w:tab/>
      </w:r>
      <w:proofErr w:type="spellStart"/>
      <w:r>
        <w:t>Disch</w:t>
      </w:r>
      <w:proofErr w:type="spellEnd"/>
      <w:r>
        <w:t>: 107.</w:t>
      </w:r>
    </w:p>
  </w:footnote>
  <w:footnote w:id="29">
    <w:p w14:paraId="577C301F" w14:textId="5E9DFB3A" w:rsidR="00D63D3D" w:rsidRDefault="00D63D3D" w:rsidP="00371C93">
      <w:pPr>
        <w:pStyle w:val="FootnoteText"/>
      </w:pPr>
      <w:r>
        <w:rPr>
          <w:rStyle w:val="FootnoteReference"/>
        </w:rPr>
        <w:footnoteRef/>
      </w:r>
      <w:r>
        <w:t xml:space="preserve"> </w:t>
      </w:r>
      <w:r>
        <w:tab/>
        <w:t>Disch</w:t>
      </w:r>
      <w:proofErr w:type="gramStart"/>
      <w:r>
        <w:t>:112</w:t>
      </w:r>
      <w:proofErr w:type="gramEnd"/>
      <w:r>
        <w:t>.</w:t>
      </w:r>
    </w:p>
  </w:footnote>
  <w:footnote w:id="30">
    <w:p w14:paraId="07F5B49C" w14:textId="575EDFBA" w:rsidR="00D63D3D" w:rsidRDefault="00D63D3D" w:rsidP="003C6A16">
      <w:pPr>
        <w:pStyle w:val="FootnoteText"/>
      </w:pPr>
      <w:r>
        <w:rPr>
          <w:rStyle w:val="FootnoteReference"/>
        </w:rPr>
        <w:footnoteRef/>
      </w:r>
      <w:r>
        <w:t xml:space="preserve"> </w:t>
      </w:r>
      <w:r>
        <w:tab/>
        <w:t>LWA: 180</w:t>
      </w:r>
    </w:p>
  </w:footnote>
  <w:footnote w:id="31">
    <w:p w14:paraId="66F8BB10" w14:textId="23BD8B83" w:rsidR="00D63D3D" w:rsidRDefault="00D63D3D" w:rsidP="000C7D98">
      <w:pPr>
        <w:pStyle w:val="FootnoteText"/>
      </w:pPr>
      <w:r>
        <w:rPr>
          <w:rStyle w:val="FootnoteReference"/>
        </w:rPr>
        <w:footnoteRef/>
      </w:r>
      <w:r>
        <w:t xml:space="preserve"> </w:t>
      </w:r>
      <w:r>
        <w:tab/>
        <w:t xml:space="preserve">Benhabib, 2000: 92. See also, Paul </w:t>
      </w:r>
      <w:proofErr w:type="spellStart"/>
      <w:r>
        <w:t>Ricoeur</w:t>
      </w:r>
      <w:proofErr w:type="spellEnd"/>
      <w:r>
        <w:t xml:space="preserve">, </w:t>
      </w:r>
      <w:r w:rsidRPr="00A5529D">
        <w:rPr>
          <w:i/>
        </w:rPr>
        <w:t>Time and Narrative</w:t>
      </w:r>
      <w:r>
        <w:t>. Chicago: University of Chicago Press, 1983</w:t>
      </w:r>
    </w:p>
  </w:footnote>
  <w:footnote w:id="32">
    <w:p w14:paraId="44DCF100" w14:textId="0BB14079" w:rsidR="00D63D3D" w:rsidRDefault="00D63D3D" w:rsidP="003C6A16">
      <w:pPr>
        <w:pStyle w:val="FootnoteText"/>
      </w:pPr>
      <w:r>
        <w:rPr>
          <w:rStyle w:val="FootnoteReference"/>
        </w:rPr>
        <w:footnoteRef/>
      </w:r>
      <w:r>
        <w:t xml:space="preserve"> </w:t>
      </w:r>
      <w:r>
        <w:tab/>
        <w:t>Canovan</w:t>
      </w:r>
      <w:proofErr w:type="gramStart"/>
      <w:r>
        <w:t>:11</w:t>
      </w:r>
      <w:proofErr w:type="gramEnd"/>
      <w:r>
        <w:t>.</w:t>
      </w:r>
    </w:p>
  </w:footnote>
  <w:footnote w:id="33">
    <w:p w14:paraId="41B261DA" w14:textId="52FE1922" w:rsidR="00D63D3D" w:rsidRDefault="00D63D3D">
      <w:pPr>
        <w:pStyle w:val="FootnoteText"/>
      </w:pPr>
      <w:r>
        <w:rPr>
          <w:rStyle w:val="FootnoteReference"/>
        </w:rPr>
        <w:footnoteRef/>
      </w:r>
      <w:r>
        <w:t xml:space="preserve"> </w:t>
      </w:r>
      <w:r>
        <w:tab/>
        <w:t>Reply: 244.</w:t>
      </w:r>
    </w:p>
  </w:footnote>
  <w:footnote w:id="34">
    <w:p w14:paraId="71873A49" w14:textId="7B9D4B24" w:rsidR="00D63D3D" w:rsidRDefault="00D63D3D" w:rsidP="00021B24">
      <w:pPr>
        <w:pStyle w:val="FootnoteText"/>
      </w:pPr>
      <w:r>
        <w:rPr>
          <w:rStyle w:val="FootnoteReference"/>
        </w:rPr>
        <w:footnoteRef/>
      </w:r>
      <w:r>
        <w:t xml:space="preserve"> </w:t>
      </w:r>
      <w:r>
        <w:tab/>
        <w:t>LM: 212.</w:t>
      </w:r>
    </w:p>
  </w:footnote>
  <w:footnote w:id="35">
    <w:p w14:paraId="160CD9F3" w14:textId="4D0B2DB4" w:rsidR="00D63D3D" w:rsidRDefault="00D63D3D">
      <w:pPr>
        <w:pStyle w:val="FootnoteText"/>
      </w:pPr>
      <w:r>
        <w:rPr>
          <w:rStyle w:val="FootnoteReference"/>
        </w:rPr>
        <w:footnoteRef/>
      </w:r>
      <w:r>
        <w:t xml:space="preserve"> </w:t>
      </w:r>
      <w:r>
        <w:tab/>
        <w:t>Benjamin: 198, 201.</w:t>
      </w:r>
    </w:p>
  </w:footnote>
  <w:footnote w:id="36">
    <w:p w14:paraId="4DA98BCF" w14:textId="6DD2ECAD" w:rsidR="00D63D3D" w:rsidRDefault="00D63D3D" w:rsidP="000D029B">
      <w:pPr>
        <w:pStyle w:val="FootnoteText"/>
      </w:pPr>
      <w:r>
        <w:rPr>
          <w:rStyle w:val="FootnoteReference"/>
        </w:rPr>
        <w:footnoteRef/>
      </w:r>
      <w:r>
        <w:t xml:space="preserve"> </w:t>
      </w:r>
      <w:r>
        <w:tab/>
        <w:t xml:space="preserve">Benjamin: 202, quoting Benjamin, </w:t>
      </w:r>
      <w:proofErr w:type="spellStart"/>
      <w:r w:rsidRPr="00F01B8E">
        <w:rPr>
          <w:i/>
        </w:rPr>
        <w:t>Briefe</w:t>
      </w:r>
      <w:proofErr w:type="spellEnd"/>
      <w:r>
        <w:rPr>
          <w:i/>
        </w:rPr>
        <w:t xml:space="preserve"> I</w:t>
      </w:r>
      <w:r>
        <w:t>, 329.</w:t>
      </w:r>
    </w:p>
  </w:footnote>
  <w:footnote w:id="37">
    <w:p w14:paraId="7C655C29" w14:textId="086D9F9D" w:rsidR="00D63D3D" w:rsidRDefault="00D63D3D" w:rsidP="000D029B">
      <w:pPr>
        <w:pStyle w:val="FootnoteText"/>
      </w:pPr>
      <w:r>
        <w:rPr>
          <w:rStyle w:val="FootnoteReference"/>
        </w:rPr>
        <w:footnoteRef/>
      </w:r>
      <w:r>
        <w:t xml:space="preserve"> </w:t>
      </w:r>
      <w:r>
        <w:tab/>
        <w:t>Benjamin: 203.</w:t>
      </w:r>
    </w:p>
  </w:footnote>
  <w:footnote w:id="38">
    <w:p w14:paraId="4DF3B708" w14:textId="7DCB4DAF" w:rsidR="00D63D3D" w:rsidRDefault="00D63D3D" w:rsidP="000D029B">
      <w:pPr>
        <w:pStyle w:val="FootnoteText"/>
      </w:pPr>
      <w:r>
        <w:rPr>
          <w:rStyle w:val="FootnoteReference"/>
        </w:rPr>
        <w:footnoteRef/>
      </w:r>
      <w:r>
        <w:t xml:space="preserve"> </w:t>
      </w:r>
      <w:r>
        <w:tab/>
        <w:t>Benjamin: 202.</w:t>
      </w:r>
    </w:p>
  </w:footnote>
  <w:footnote w:id="39">
    <w:p w14:paraId="54468944" w14:textId="31BC522B" w:rsidR="00D63D3D" w:rsidRDefault="00D63D3D" w:rsidP="006E09C8">
      <w:pPr>
        <w:pStyle w:val="FootnoteText"/>
      </w:pPr>
      <w:r>
        <w:rPr>
          <w:rStyle w:val="FootnoteReference"/>
        </w:rPr>
        <w:footnoteRef/>
      </w:r>
      <w:r>
        <w:t xml:space="preserve">  </w:t>
      </w:r>
      <w:r>
        <w:tab/>
        <w:t>BPF: 28-9.</w:t>
      </w:r>
    </w:p>
  </w:footnote>
  <w:footnote w:id="40">
    <w:p w14:paraId="326C41D8" w14:textId="20A90F3E" w:rsidR="00D63D3D" w:rsidRDefault="00D63D3D">
      <w:pPr>
        <w:pStyle w:val="FootnoteText"/>
      </w:pPr>
      <w:r>
        <w:rPr>
          <w:rStyle w:val="FootnoteReference"/>
        </w:rPr>
        <w:footnoteRef/>
      </w:r>
      <w:r>
        <w:t xml:space="preserve"> </w:t>
      </w:r>
      <w:r>
        <w:tab/>
        <w:t>MDT: 193</w:t>
      </w:r>
    </w:p>
  </w:footnote>
  <w:footnote w:id="41">
    <w:p w14:paraId="4E15E966" w14:textId="5FA42F98" w:rsidR="00D63D3D" w:rsidRDefault="00D63D3D" w:rsidP="005554AE">
      <w:pPr>
        <w:pStyle w:val="FootnoteText"/>
      </w:pPr>
      <w:r>
        <w:rPr>
          <w:rStyle w:val="FootnoteReference"/>
        </w:rPr>
        <w:footnoteRef/>
      </w:r>
      <w:r>
        <w:t xml:space="preserve"> </w:t>
      </w:r>
      <w:r>
        <w:tab/>
        <w:t>Disch</w:t>
      </w:r>
      <w:proofErr w:type="gramStart"/>
      <w:r>
        <w:t>:106</w:t>
      </w:r>
      <w:proofErr w:type="gramEnd"/>
      <w:r>
        <w:t>.</w:t>
      </w:r>
    </w:p>
  </w:footnote>
  <w:footnote w:id="42">
    <w:p w14:paraId="4B5DF33C" w14:textId="259B7A69" w:rsidR="00D63D3D" w:rsidRDefault="00D63D3D">
      <w:pPr>
        <w:pStyle w:val="FootnoteText"/>
      </w:pPr>
      <w:r>
        <w:rPr>
          <w:rStyle w:val="FootnoteReference"/>
        </w:rPr>
        <w:footnoteRef/>
      </w:r>
      <w:r>
        <w:t xml:space="preserve"> </w:t>
      </w:r>
      <w:r>
        <w:tab/>
      </w:r>
      <w:proofErr w:type="spellStart"/>
      <w:r>
        <w:t>Disch</w:t>
      </w:r>
      <w:proofErr w:type="spellEnd"/>
      <w:r>
        <w:t>: 115.</w:t>
      </w:r>
    </w:p>
  </w:footnote>
  <w:footnote w:id="43">
    <w:p w14:paraId="0972234A" w14:textId="0459B3F4" w:rsidR="00D63D3D" w:rsidRDefault="00D63D3D" w:rsidP="001C735B">
      <w:pPr>
        <w:pStyle w:val="FootnoteText"/>
      </w:pPr>
      <w:r>
        <w:rPr>
          <w:rStyle w:val="FootnoteReference"/>
        </w:rPr>
        <w:footnoteRef/>
      </w:r>
      <w:r>
        <w:t xml:space="preserve"> </w:t>
      </w:r>
      <w:r>
        <w:tab/>
        <w:t>Book III: 93-4.</w:t>
      </w:r>
    </w:p>
  </w:footnote>
  <w:footnote w:id="44">
    <w:p w14:paraId="247BBCB8" w14:textId="2BE10684" w:rsidR="00D63D3D" w:rsidRDefault="00D63D3D">
      <w:pPr>
        <w:pStyle w:val="FootnoteText"/>
      </w:pPr>
      <w:r>
        <w:rPr>
          <w:rStyle w:val="FootnoteReference"/>
        </w:rPr>
        <w:footnoteRef/>
      </w:r>
      <w:r>
        <w:t xml:space="preserve"> </w:t>
      </w:r>
      <w:r>
        <w:tab/>
      </w:r>
      <w:proofErr w:type="gramStart"/>
      <w:r>
        <w:t>In Smith, 1983: 196.</w:t>
      </w:r>
      <w:proofErr w:type="gramEnd"/>
    </w:p>
  </w:footnote>
  <w:footnote w:id="45">
    <w:p w14:paraId="6E1DE35E" w14:textId="2748A94E" w:rsidR="00D63D3D" w:rsidRDefault="00D63D3D">
      <w:pPr>
        <w:pStyle w:val="FootnoteText"/>
      </w:pPr>
      <w:r>
        <w:rPr>
          <w:rStyle w:val="FootnoteReference"/>
        </w:rPr>
        <w:footnoteRef/>
      </w:r>
      <w:r>
        <w:t xml:space="preserve"> </w:t>
      </w:r>
      <w:r>
        <w:tab/>
      </w:r>
      <w:proofErr w:type="gramStart"/>
      <w:r>
        <w:t>1996: 1.</w:t>
      </w:r>
      <w:proofErr w:type="gramEnd"/>
    </w:p>
  </w:footnote>
  <w:footnote w:id="46">
    <w:p w14:paraId="1F2F7390" w14:textId="4370779E" w:rsidR="00D63D3D" w:rsidRDefault="00D63D3D">
      <w:pPr>
        <w:pStyle w:val="FootnoteText"/>
      </w:pPr>
      <w:r>
        <w:rPr>
          <w:rStyle w:val="FootnoteReference"/>
        </w:rPr>
        <w:footnoteRef/>
      </w:r>
      <w:r>
        <w:t xml:space="preserve">  </w:t>
      </w:r>
      <w:r>
        <w:tab/>
        <w:t>OT: 217.</w:t>
      </w:r>
    </w:p>
  </w:footnote>
  <w:footnote w:id="47">
    <w:p w14:paraId="32270231" w14:textId="7A47FD52" w:rsidR="00D63D3D" w:rsidRDefault="00D63D3D">
      <w:pPr>
        <w:pStyle w:val="FootnoteText"/>
      </w:pPr>
      <w:r>
        <w:rPr>
          <w:rStyle w:val="FootnoteReference"/>
        </w:rPr>
        <w:footnoteRef/>
      </w:r>
      <w:r>
        <w:t xml:space="preserve"> </w:t>
      </w:r>
      <w:r>
        <w:tab/>
        <w:t>OT: 220.</w:t>
      </w:r>
    </w:p>
  </w:footnote>
  <w:footnote w:id="48">
    <w:p w14:paraId="5CCA042A" w14:textId="62BBCB65" w:rsidR="00D63D3D" w:rsidRDefault="00D63D3D">
      <w:pPr>
        <w:pStyle w:val="FootnoteText"/>
      </w:pPr>
      <w:r>
        <w:rPr>
          <w:rStyle w:val="FootnoteReference"/>
        </w:rPr>
        <w:footnoteRef/>
      </w:r>
      <w:r>
        <w:t xml:space="preserve"> </w:t>
      </w:r>
      <w:r>
        <w:tab/>
        <w:t>OT: 220.</w:t>
      </w:r>
    </w:p>
  </w:footnote>
  <w:footnote w:id="49">
    <w:p w14:paraId="69FD7F6C" w14:textId="1F35A2AF" w:rsidR="00D63D3D" w:rsidRDefault="00D63D3D">
      <w:pPr>
        <w:pStyle w:val="FootnoteText"/>
      </w:pPr>
      <w:r>
        <w:rPr>
          <w:rStyle w:val="FootnoteReference"/>
        </w:rPr>
        <w:footnoteRef/>
      </w:r>
      <w:r>
        <w:t xml:space="preserve"> </w:t>
      </w:r>
      <w:r>
        <w:tab/>
        <w:t>OT: 215.</w:t>
      </w:r>
    </w:p>
  </w:footnote>
  <w:footnote w:id="50">
    <w:p w14:paraId="710A1E7D" w14:textId="77777777" w:rsidR="00D63D3D" w:rsidRDefault="00D63D3D" w:rsidP="00E211CE">
      <w:pPr>
        <w:pStyle w:val="FootnoteText"/>
      </w:pPr>
      <w:r>
        <w:rPr>
          <w:rStyle w:val="FootnoteReference"/>
        </w:rPr>
        <w:footnoteRef/>
      </w:r>
      <w:r>
        <w:t xml:space="preserve"> </w:t>
      </w:r>
      <w:r>
        <w:tab/>
        <w:t>OT: 189.</w:t>
      </w:r>
    </w:p>
  </w:footnote>
  <w:footnote w:id="51">
    <w:p w14:paraId="7037B0CC" w14:textId="176CA766" w:rsidR="00D63D3D" w:rsidRDefault="00D63D3D">
      <w:pPr>
        <w:pStyle w:val="FootnoteText"/>
      </w:pPr>
      <w:r>
        <w:rPr>
          <w:rStyle w:val="FootnoteReference"/>
        </w:rPr>
        <w:footnoteRef/>
      </w:r>
      <w:r>
        <w:t xml:space="preserve"> </w:t>
      </w:r>
      <w:r>
        <w:tab/>
        <w:t>Humphreys: 3.</w:t>
      </w:r>
    </w:p>
  </w:footnote>
  <w:footnote w:id="52">
    <w:p w14:paraId="5938C75B" w14:textId="23C64D30" w:rsidR="00D63D3D" w:rsidRDefault="00D63D3D">
      <w:pPr>
        <w:pStyle w:val="FootnoteText"/>
      </w:pPr>
      <w:r>
        <w:rPr>
          <w:rStyle w:val="FootnoteReference"/>
        </w:rPr>
        <w:footnoteRef/>
      </w:r>
      <w:r>
        <w:t xml:space="preserve"> </w:t>
      </w:r>
      <w:r>
        <w:tab/>
        <w:t>Humphreys: 3.</w:t>
      </w:r>
    </w:p>
  </w:footnote>
  <w:footnote w:id="53">
    <w:p w14:paraId="38AF7060" w14:textId="7C645269" w:rsidR="00D63D3D" w:rsidRDefault="00D63D3D">
      <w:pPr>
        <w:pStyle w:val="FootnoteText"/>
      </w:pPr>
      <w:r>
        <w:rPr>
          <w:rStyle w:val="FootnoteReference"/>
        </w:rPr>
        <w:footnoteRef/>
      </w:r>
      <w:r>
        <w:t xml:space="preserve"> </w:t>
      </w:r>
      <w:r>
        <w:tab/>
      </w:r>
      <w:proofErr w:type="gramStart"/>
      <w:r>
        <w:t>1996: 297.</w:t>
      </w:r>
      <w:proofErr w:type="gramEnd"/>
    </w:p>
  </w:footnote>
  <w:footnote w:id="54">
    <w:p w14:paraId="2F9C4D3E" w14:textId="6EF539F5" w:rsidR="00D63D3D" w:rsidRDefault="00D63D3D">
      <w:pPr>
        <w:pStyle w:val="FootnoteText"/>
      </w:pPr>
      <w:r>
        <w:rPr>
          <w:rStyle w:val="FootnoteReference"/>
        </w:rPr>
        <w:footnoteRef/>
      </w:r>
      <w:r>
        <w:t xml:space="preserve"> </w:t>
      </w:r>
      <w:r>
        <w:tab/>
        <w:t>OT 156.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F00D68C"/>
    <w:lvl w:ilvl="0">
      <w:start w:val="1939"/>
      <w:numFmt w:val="bullet"/>
      <w:pStyle w:val="Bullet2"/>
      <w:lvlText w:val="-"/>
      <w:lvlJc w:val="left"/>
      <w:pPr>
        <w:tabs>
          <w:tab w:val="num" w:pos="720"/>
        </w:tabs>
        <w:ind w:left="720" w:hanging="360"/>
      </w:pPr>
      <w:rPr>
        <w:rFonts w:ascii="Times New Roman" w:hAnsi="Times New Roman" w:hint="default"/>
      </w:rPr>
    </w:lvl>
  </w:abstractNum>
  <w:abstractNum w:abstractNumId="1">
    <w:nsid w:val="00000008"/>
    <w:multiLevelType w:val="singleLevel"/>
    <w:tmpl w:val="7C321422"/>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52"/>
    <w:rsid w:val="000013FA"/>
    <w:rsid w:val="000169A1"/>
    <w:rsid w:val="000177AF"/>
    <w:rsid w:val="00020B71"/>
    <w:rsid w:val="00021B24"/>
    <w:rsid w:val="00027CC8"/>
    <w:rsid w:val="00032984"/>
    <w:rsid w:val="00037D5C"/>
    <w:rsid w:val="00037DD8"/>
    <w:rsid w:val="00040ACE"/>
    <w:rsid w:val="00040DFF"/>
    <w:rsid w:val="00043387"/>
    <w:rsid w:val="000512AA"/>
    <w:rsid w:val="000517A8"/>
    <w:rsid w:val="000540C0"/>
    <w:rsid w:val="000602B3"/>
    <w:rsid w:val="00063095"/>
    <w:rsid w:val="00064649"/>
    <w:rsid w:val="00067DAA"/>
    <w:rsid w:val="00073DFF"/>
    <w:rsid w:val="00077111"/>
    <w:rsid w:val="00080956"/>
    <w:rsid w:val="0008326A"/>
    <w:rsid w:val="00084D1B"/>
    <w:rsid w:val="000A0161"/>
    <w:rsid w:val="000A353B"/>
    <w:rsid w:val="000A5145"/>
    <w:rsid w:val="000A62E2"/>
    <w:rsid w:val="000B502E"/>
    <w:rsid w:val="000C0DB5"/>
    <w:rsid w:val="000C144D"/>
    <w:rsid w:val="000C57EF"/>
    <w:rsid w:val="000C7D98"/>
    <w:rsid w:val="000D029B"/>
    <w:rsid w:val="000D09F7"/>
    <w:rsid w:val="000E35F1"/>
    <w:rsid w:val="000F1869"/>
    <w:rsid w:val="000F6B2A"/>
    <w:rsid w:val="000F772F"/>
    <w:rsid w:val="001114F0"/>
    <w:rsid w:val="00111AE7"/>
    <w:rsid w:val="00113DD8"/>
    <w:rsid w:val="001140EE"/>
    <w:rsid w:val="001167B3"/>
    <w:rsid w:val="00116BF9"/>
    <w:rsid w:val="00120073"/>
    <w:rsid w:val="00121EF8"/>
    <w:rsid w:val="00137021"/>
    <w:rsid w:val="0014213A"/>
    <w:rsid w:val="00142DD5"/>
    <w:rsid w:val="00161A06"/>
    <w:rsid w:val="00161B90"/>
    <w:rsid w:val="00172015"/>
    <w:rsid w:val="0017332F"/>
    <w:rsid w:val="001856CD"/>
    <w:rsid w:val="00195E15"/>
    <w:rsid w:val="001B23F0"/>
    <w:rsid w:val="001B5031"/>
    <w:rsid w:val="001C0311"/>
    <w:rsid w:val="001C735B"/>
    <w:rsid w:val="001D1019"/>
    <w:rsid w:val="001D5AFC"/>
    <w:rsid w:val="001E261E"/>
    <w:rsid w:val="001E5952"/>
    <w:rsid w:val="001E7009"/>
    <w:rsid w:val="001F5645"/>
    <w:rsid w:val="001F658D"/>
    <w:rsid w:val="00202561"/>
    <w:rsid w:val="00211107"/>
    <w:rsid w:val="0021206E"/>
    <w:rsid w:val="002138B2"/>
    <w:rsid w:val="00234A31"/>
    <w:rsid w:val="00235E79"/>
    <w:rsid w:val="002422FB"/>
    <w:rsid w:val="0024278A"/>
    <w:rsid w:val="00242FA9"/>
    <w:rsid w:val="0024642E"/>
    <w:rsid w:val="002502C5"/>
    <w:rsid w:val="00250FB0"/>
    <w:rsid w:val="002531E5"/>
    <w:rsid w:val="00255048"/>
    <w:rsid w:val="002571E0"/>
    <w:rsid w:val="002644CE"/>
    <w:rsid w:val="00270E7F"/>
    <w:rsid w:val="00271F7C"/>
    <w:rsid w:val="00274ACB"/>
    <w:rsid w:val="00280C40"/>
    <w:rsid w:val="002815A8"/>
    <w:rsid w:val="00281669"/>
    <w:rsid w:val="00290D87"/>
    <w:rsid w:val="002A2CDC"/>
    <w:rsid w:val="002A4585"/>
    <w:rsid w:val="002A6561"/>
    <w:rsid w:val="002B0A17"/>
    <w:rsid w:val="002B6B82"/>
    <w:rsid w:val="002B7427"/>
    <w:rsid w:val="002C001B"/>
    <w:rsid w:val="002D1F4A"/>
    <w:rsid w:val="002E4099"/>
    <w:rsid w:val="002E5A43"/>
    <w:rsid w:val="002E7B75"/>
    <w:rsid w:val="002F09A0"/>
    <w:rsid w:val="002F0C33"/>
    <w:rsid w:val="002F1832"/>
    <w:rsid w:val="002F35D0"/>
    <w:rsid w:val="0030172F"/>
    <w:rsid w:val="00307063"/>
    <w:rsid w:val="00310FEF"/>
    <w:rsid w:val="00316D19"/>
    <w:rsid w:val="0032182F"/>
    <w:rsid w:val="00322A94"/>
    <w:rsid w:val="00323544"/>
    <w:rsid w:val="00323E33"/>
    <w:rsid w:val="00324CA2"/>
    <w:rsid w:val="0033002A"/>
    <w:rsid w:val="00333D48"/>
    <w:rsid w:val="003407CC"/>
    <w:rsid w:val="0034091B"/>
    <w:rsid w:val="00346035"/>
    <w:rsid w:val="00350C0A"/>
    <w:rsid w:val="003510FC"/>
    <w:rsid w:val="00353DA4"/>
    <w:rsid w:val="00370831"/>
    <w:rsid w:val="0037187F"/>
    <w:rsid w:val="00371C93"/>
    <w:rsid w:val="00375B78"/>
    <w:rsid w:val="00375D07"/>
    <w:rsid w:val="00380C54"/>
    <w:rsid w:val="0038685E"/>
    <w:rsid w:val="003920AF"/>
    <w:rsid w:val="00395BA5"/>
    <w:rsid w:val="003B2BF1"/>
    <w:rsid w:val="003B38F8"/>
    <w:rsid w:val="003B3AD0"/>
    <w:rsid w:val="003C0E63"/>
    <w:rsid w:val="003C42D9"/>
    <w:rsid w:val="003C6A16"/>
    <w:rsid w:val="003D4F81"/>
    <w:rsid w:val="003E37E0"/>
    <w:rsid w:val="003F0A5E"/>
    <w:rsid w:val="00403366"/>
    <w:rsid w:val="00410EF7"/>
    <w:rsid w:val="004544D4"/>
    <w:rsid w:val="0045598D"/>
    <w:rsid w:val="00460F86"/>
    <w:rsid w:val="004667D4"/>
    <w:rsid w:val="0047024C"/>
    <w:rsid w:val="00471729"/>
    <w:rsid w:val="00474631"/>
    <w:rsid w:val="00477084"/>
    <w:rsid w:val="0048744F"/>
    <w:rsid w:val="00491119"/>
    <w:rsid w:val="00491A82"/>
    <w:rsid w:val="00496151"/>
    <w:rsid w:val="004A189B"/>
    <w:rsid w:val="004A20D4"/>
    <w:rsid w:val="004A5C20"/>
    <w:rsid w:val="004A68F5"/>
    <w:rsid w:val="004A7262"/>
    <w:rsid w:val="004B45F4"/>
    <w:rsid w:val="004C107E"/>
    <w:rsid w:val="004C1953"/>
    <w:rsid w:val="004C658D"/>
    <w:rsid w:val="004C74F2"/>
    <w:rsid w:val="004D37F2"/>
    <w:rsid w:val="004D6AF2"/>
    <w:rsid w:val="004E3F88"/>
    <w:rsid w:val="004E756B"/>
    <w:rsid w:val="0051694B"/>
    <w:rsid w:val="00524CF2"/>
    <w:rsid w:val="00527CC8"/>
    <w:rsid w:val="00532DB7"/>
    <w:rsid w:val="00533728"/>
    <w:rsid w:val="00535018"/>
    <w:rsid w:val="005431B2"/>
    <w:rsid w:val="005554AE"/>
    <w:rsid w:val="0055551A"/>
    <w:rsid w:val="00557324"/>
    <w:rsid w:val="00576D61"/>
    <w:rsid w:val="00576D6A"/>
    <w:rsid w:val="00577CD5"/>
    <w:rsid w:val="00577EA9"/>
    <w:rsid w:val="00582164"/>
    <w:rsid w:val="00586CAF"/>
    <w:rsid w:val="005903B7"/>
    <w:rsid w:val="005A424E"/>
    <w:rsid w:val="005A735A"/>
    <w:rsid w:val="005B55B6"/>
    <w:rsid w:val="005B7B83"/>
    <w:rsid w:val="005C1DE8"/>
    <w:rsid w:val="005D1B49"/>
    <w:rsid w:val="005E10C7"/>
    <w:rsid w:val="005F1EC6"/>
    <w:rsid w:val="005F38F5"/>
    <w:rsid w:val="00605F83"/>
    <w:rsid w:val="00607062"/>
    <w:rsid w:val="006232A4"/>
    <w:rsid w:val="006235F7"/>
    <w:rsid w:val="0063393F"/>
    <w:rsid w:val="00635D18"/>
    <w:rsid w:val="00637CE4"/>
    <w:rsid w:val="00641488"/>
    <w:rsid w:val="00646F81"/>
    <w:rsid w:val="00665125"/>
    <w:rsid w:val="0067735B"/>
    <w:rsid w:val="00685CAE"/>
    <w:rsid w:val="00686150"/>
    <w:rsid w:val="00691416"/>
    <w:rsid w:val="00694392"/>
    <w:rsid w:val="00694E5D"/>
    <w:rsid w:val="006A4CC5"/>
    <w:rsid w:val="006A601C"/>
    <w:rsid w:val="006A6220"/>
    <w:rsid w:val="006B3544"/>
    <w:rsid w:val="006C34D5"/>
    <w:rsid w:val="006C7693"/>
    <w:rsid w:val="006D1146"/>
    <w:rsid w:val="006D1549"/>
    <w:rsid w:val="006D491A"/>
    <w:rsid w:val="006E09C8"/>
    <w:rsid w:val="006E5935"/>
    <w:rsid w:val="006F1B6B"/>
    <w:rsid w:val="006F2D76"/>
    <w:rsid w:val="006F4285"/>
    <w:rsid w:val="006F46B1"/>
    <w:rsid w:val="006F5790"/>
    <w:rsid w:val="007026E3"/>
    <w:rsid w:val="0070372F"/>
    <w:rsid w:val="00707D0D"/>
    <w:rsid w:val="00710F39"/>
    <w:rsid w:val="00715845"/>
    <w:rsid w:val="0071781E"/>
    <w:rsid w:val="00720CB8"/>
    <w:rsid w:val="0072107C"/>
    <w:rsid w:val="007232B7"/>
    <w:rsid w:val="0072519C"/>
    <w:rsid w:val="00744C1E"/>
    <w:rsid w:val="007456CE"/>
    <w:rsid w:val="0074663B"/>
    <w:rsid w:val="00746A38"/>
    <w:rsid w:val="00746C56"/>
    <w:rsid w:val="00757CB2"/>
    <w:rsid w:val="0076194C"/>
    <w:rsid w:val="00772652"/>
    <w:rsid w:val="0077622C"/>
    <w:rsid w:val="00783AAE"/>
    <w:rsid w:val="007861D9"/>
    <w:rsid w:val="00786A60"/>
    <w:rsid w:val="007940D6"/>
    <w:rsid w:val="00795D4C"/>
    <w:rsid w:val="007A0563"/>
    <w:rsid w:val="007A7A53"/>
    <w:rsid w:val="007B0AD7"/>
    <w:rsid w:val="007B78B3"/>
    <w:rsid w:val="007C210A"/>
    <w:rsid w:val="007C2BBB"/>
    <w:rsid w:val="007D1329"/>
    <w:rsid w:val="007D5244"/>
    <w:rsid w:val="007E2A72"/>
    <w:rsid w:val="007E2C27"/>
    <w:rsid w:val="007F3E91"/>
    <w:rsid w:val="00803562"/>
    <w:rsid w:val="0080705C"/>
    <w:rsid w:val="00810242"/>
    <w:rsid w:val="00810B88"/>
    <w:rsid w:val="00821009"/>
    <w:rsid w:val="008224C5"/>
    <w:rsid w:val="008311F0"/>
    <w:rsid w:val="00832D57"/>
    <w:rsid w:val="00833183"/>
    <w:rsid w:val="00837EBC"/>
    <w:rsid w:val="0085181E"/>
    <w:rsid w:val="00851BC8"/>
    <w:rsid w:val="00862490"/>
    <w:rsid w:val="00864BAA"/>
    <w:rsid w:val="00871B72"/>
    <w:rsid w:val="00872D83"/>
    <w:rsid w:val="00877612"/>
    <w:rsid w:val="008815BB"/>
    <w:rsid w:val="00887985"/>
    <w:rsid w:val="00887E91"/>
    <w:rsid w:val="00892837"/>
    <w:rsid w:val="008A749A"/>
    <w:rsid w:val="008B1679"/>
    <w:rsid w:val="008B334E"/>
    <w:rsid w:val="008C167E"/>
    <w:rsid w:val="008C5E64"/>
    <w:rsid w:val="008C682A"/>
    <w:rsid w:val="008D3BE2"/>
    <w:rsid w:val="008D4D84"/>
    <w:rsid w:val="008E129F"/>
    <w:rsid w:val="008E6003"/>
    <w:rsid w:val="008E7DC3"/>
    <w:rsid w:val="008F2F5B"/>
    <w:rsid w:val="009006D6"/>
    <w:rsid w:val="0091239B"/>
    <w:rsid w:val="00913F32"/>
    <w:rsid w:val="00914A49"/>
    <w:rsid w:val="00914FCD"/>
    <w:rsid w:val="00915D88"/>
    <w:rsid w:val="00916792"/>
    <w:rsid w:val="00920C8D"/>
    <w:rsid w:val="009235B7"/>
    <w:rsid w:val="00931933"/>
    <w:rsid w:val="00936000"/>
    <w:rsid w:val="00940F45"/>
    <w:rsid w:val="009474AF"/>
    <w:rsid w:val="00951D1B"/>
    <w:rsid w:val="00951FA7"/>
    <w:rsid w:val="009521A2"/>
    <w:rsid w:val="0096330E"/>
    <w:rsid w:val="00963888"/>
    <w:rsid w:val="00964C91"/>
    <w:rsid w:val="009652D8"/>
    <w:rsid w:val="00965616"/>
    <w:rsid w:val="00972D0C"/>
    <w:rsid w:val="00973658"/>
    <w:rsid w:val="009777D2"/>
    <w:rsid w:val="009811D0"/>
    <w:rsid w:val="00983A5C"/>
    <w:rsid w:val="009859A0"/>
    <w:rsid w:val="0098654A"/>
    <w:rsid w:val="0099490A"/>
    <w:rsid w:val="009951D9"/>
    <w:rsid w:val="009A24D3"/>
    <w:rsid w:val="009A616C"/>
    <w:rsid w:val="009B4053"/>
    <w:rsid w:val="009C1D4A"/>
    <w:rsid w:val="009C4B30"/>
    <w:rsid w:val="009C4CF5"/>
    <w:rsid w:val="009C7637"/>
    <w:rsid w:val="009C7F07"/>
    <w:rsid w:val="009D425F"/>
    <w:rsid w:val="009E217E"/>
    <w:rsid w:val="009E496D"/>
    <w:rsid w:val="009E6E9B"/>
    <w:rsid w:val="009F1DC4"/>
    <w:rsid w:val="009F7B91"/>
    <w:rsid w:val="00A02D09"/>
    <w:rsid w:val="00A06A02"/>
    <w:rsid w:val="00A17A3F"/>
    <w:rsid w:val="00A23952"/>
    <w:rsid w:val="00A245D0"/>
    <w:rsid w:val="00A33A38"/>
    <w:rsid w:val="00A365EC"/>
    <w:rsid w:val="00A40278"/>
    <w:rsid w:val="00A429DD"/>
    <w:rsid w:val="00A45D6A"/>
    <w:rsid w:val="00A4633E"/>
    <w:rsid w:val="00A52A41"/>
    <w:rsid w:val="00A54DF5"/>
    <w:rsid w:val="00A5529D"/>
    <w:rsid w:val="00A566C8"/>
    <w:rsid w:val="00A7730A"/>
    <w:rsid w:val="00A82B81"/>
    <w:rsid w:val="00A875D6"/>
    <w:rsid w:val="00A910A5"/>
    <w:rsid w:val="00A96563"/>
    <w:rsid w:val="00AC78F0"/>
    <w:rsid w:val="00AD23E1"/>
    <w:rsid w:val="00AD4832"/>
    <w:rsid w:val="00AE020B"/>
    <w:rsid w:val="00AE060E"/>
    <w:rsid w:val="00AE0E7C"/>
    <w:rsid w:val="00AE408F"/>
    <w:rsid w:val="00AF146E"/>
    <w:rsid w:val="00AF1AF3"/>
    <w:rsid w:val="00B01286"/>
    <w:rsid w:val="00B05B05"/>
    <w:rsid w:val="00B06955"/>
    <w:rsid w:val="00B14D63"/>
    <w:rsid w:val="00B21DFE"/>
    <w:rsid w:val="00B27E6C"/>
    <w:rsid w:val="00B304CB"/>
    <w:rsid w:val="00B30821"/>
    <w:rsid w:val="00B3367E"/>
    <w:rsid w:val="00B40A5D"/>
    <w:rsid w:val="00B469A6"/>
    <w:rsid w:val="00B5200C"/>
    <w:rsid w:val="00B63F09"/>
    <w:rsid w:val="00B75AAC"/>
    <w:rsid w:val="00B75C41"/>
    <w:rsid w:val="00B770DF"/>
    <w:rsid w:val="00B77DCF"/>
    <w:rsid w:val="00B77E8E"/>
    <w:rsid w:val="00B81264"/>
    <w:rsid w:val="00B83277"/>
    <w:rsid w:val="00B94B30"/>
    <w:rsid w:val="00BA3931"/>
    <w:rsid w:val="00BA4464"/>
    <w:rsid w:val="00BA7810"/>
    <w:rsid w:val="00BB3F26"/>
    <w:rsid w:val="00BD0943"/>
    <w:rsid w:val="00BD6087"/>
    <w:rsid w:val="00BE68A2"/>
    <w:rsid w:val="00BF37DB"/>
    <w:rsid w:val="00BF6E5C"/>
    <w:rsid w:val="00BF713D"/>
    <w:rsid w:val="00C013C6"/>
    <w:rsid w:val="00C01679"/>
    <w:rsid w:val="00C04981"/>
    <w:rsid w:val="00C11DC7"/>
    <w:rsid w:val="00C11E0D"/>
    <w:rsid w:val="00C129BA"/>
    <w:rsid w:val="00C12ED1"/>
    <w:rsid w:val="00C15FE7"/>
    <w:rsid w:val="00C175CF"/>
    <w:rsid w:val="00C22DBF"/>
    <w:rsid w:val="00C306F3"/>
    <w:rsid w:val="00C31D87"/>
    <w:rsid w:val="00C32C5D"/>
    <w:rsid w:val="00C36440"/>
    <w:rsid w:val="00C40717"/>
    <w:rsid w:val="00C57340"/>
    <w:rsid w:val="00C578B4"/>
    <w:rsid w:val="00C61066"/>
    <w:rsid w:val="00C630C0"/>
    <w:rsid w:val="00C73C37"/>
    <w:rsid w:val="00C80879"/>
    <w:rsid w:val="00C872A9"/>
    <w:rsid w:val="00C92433"/>
    <w:rsid w:val="00CA182C"/>
    <w:rsid w:val="00CA5DE6"/>
    <w:rsid w:val="00CB1C16"/>
    <w:rsid w:val="00CC69D2"/>
    <w:rsid w:val="00CD3EA0"/>
    <w:rsid w:val="00CD5E41"/>
    <w:rsid w:val="00CD66DD"/>
    <w:rsid w:val="00CD7746"/>
    <w:rsid w:val="00CD7D7D"/>
    <w:rsid w:val="00CE3CEB"/>
    <w:rsid w:val="00CF1BCE"/>
    <w:rsid w:val="00CF2583"/>
    <w:rsid w:val="00CF2E4F"/>
    <w:rsid w:val="00D00DFD"/>
    <w:rsid w:val="00D15F6D"/>
    <w:rsid w:val="00D2503A"/>
    <w:rsid w:val="00D2519E"/>
    <w:rsid w:val="00D26129"/>
    <w:rsid w:val="00D37170"/>
    <w:rsid w:val="00D5426B"/>
    <w:rsid w:val="00D54DDE"/>
    <w:rsid w:val="00D630BA"/>
    <w:rsid w:val="00D63D3D"/>
    <w:rsid w:val="00D64F56"/>
    <w:rsid w:val="00D67D6D"/>
    <w:rsid w:val="00D67E24"/>
    <w:rsid w:val="00D70F4D"/>
    <w:rsid w:val="00D7294F"/>
    <w:rsid w:val="00D75F2C"/>
    <w:rsid w:val="00D80EE1"/>
    <w:rsid w:val="00D81CF5"/>
    <w:rsid w:val="00D95DDE"/>
    <w:rsid w:val="00DB0690"/>
    <w:rsid w:val="00DB15DC"/>
    <w:rsid w:val="00DB2DC8"/>
    <w:rsid w:val="00DB5C36"/>
    <w:rsid w:val="00DB6E86"/>
    <w:rsid w:val="00DC6CEC"/>
    <w:rsid w:val="00DC7CE2"/>
    <w:rsid w:val="00DD34BD"/>
    <w:rsid w:val="00DE28F5"/>
    <w:rsid w:val="00DE3E8C"/>
    <w:rsid w:val="00DF2ECF"/>
    <w:rsid w:val="00E0092C"/>
    <w:rsid w:val="00E1339E"/>
    <w:rsid w:val="00E14F36"/>
    <w:rsid w:val="00E15433"/>
    <w:rsid w:val="00E157B0"/>
    <w:rsid w:val="00E211CE"/>
    <w:rsid w:val="00E21C79"/>
    <w:rsid w:val="00E277ED"/>
    <w:rsid w:val="00E36389"/>
    <w:rsid w:val="00E4367D"/>
    <w:rsid w:val="00E47286"/>
    <w:rsid w:val="00E55AEA"/>
    <w:rsid w:val="00E758B6"/>
    <w:rsid w:val="00E856AA"/>
    <w:rsid w:val="00E9003A"/>
    <w:rsid w:val="00E901E1"/>
    <w:rsid w:val="00E93201"/>
    <w:rsid w:val="00EA2398"/>
    <w:rsid w:val="00EA23E1"/>
    <w:rsid w:val="00EA264A"/>
    <w:rsid w:val="00EA6F73"/>
    <w:rsid w:val="00EA7686"/>
    <w:rsid w:val="00EB2E25"/>
    <w:rsid w:val="00EB3DE4"/>
    <w:rsid w:val="00EB44D6"/>
    <w:rsid w:val="00EB5C6A"/>
    <w:rsid w:val="00EB63F5"/>
    <w:rsid w:val="00EC190F"/>
    <w:rsid w:val="00ED2BA0"/>
    <w:rsid w:val="00ED5D5C"/>
    <w:rsid w:val="00ED5E62"/>
    <w:rsid w:val="00EF161A"/>
    <w:rsid w:val="00EF16E3"/>
    <w:rsid w:val="00EF3350"/>
    <w:rsid w:val="00EF4D25"/>
    <w:rsid w:val="00F01B8E"/>
    <w:rsid w:val="00F0733E"/>
    <w:rsid w:val="00F2057F"/>
    <w:rsid w:val="00F25F40"/>
    <w:rsid w:val="00F311FD"/>
    <w:rsid w:val="00F3218F"/>
    <w:rsid w:val="00F3341A"/>
    <w:rsid w:val="00F33426"/>
    <w:rsid w:val="00F41988"/>
    <w:rsid w:val="00F445B1"/>
    <w:rsid w:val="00F446D2"/>
    <w:rsid w:val="00F56AA0"/>
    <w:rsid w:val="00F56B35"/>
    <w:rsid w:val="00F61110"/>
    <w:rsid w:val="00F64F38"/>
    <w:rsid w:val="00F656EC"/>
    <w:rsid w:val="00F749E4"/>
    <w:rsid w:val="00F8036E"/>
    <w:rsid w:val="00F8778C"/>
    <w:rsid w:val="00F87DDC"/>
    <w:rsid w:val="00F93CDA"/>
    <w:rsid w:val="00FA0995"/>
    <w:rsid w:val="00FA2D43"/>
    <w:rsid w:val="00FA33D7"/>
    <w:rsid w:val="00FA7C33"/>
    <w:rsid w:val="00FB1F01"/>
    <w:rsid w:val="00FB35C9"/>
    <w:rsid w:val="00FB5407"/>
    <w:rsid w:val="00FB7D41"/>
    <w:rsid w:val="00FC23CD"/>
    <w:rsid w:val="00FC47D9"/>
    <w:rsid w:val="00FC50A9"/>
    <w:rsid w:val="00FC590C"/>
    <w:rsid w:val="00FC5EA0"/>
    <w:rsid w:val="00FD1557"/>
    <w:rsid w:val="00FD28C4"/>
    <w:rsid w:val="00FE1A87"/>
    <w:rsid w:val="00FE2CFC"/>
    <w:rsid w:val="00FE5F02"/>
    <w:rsid w:val="00FF341E"/>
    <w:rsid w:val="00FF5309"/>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FD0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89"/>
    <w:pPr>
      <w:spacing w:line="360" w:lineRule="auto"/>
      <w:ind w:firstLine="360"/>
    </w:pPr>
    <w:rPr>
      <w:rFonts w:ascii="Baskerville" w:hAnsi="Baskerville"/>
      <w:sz w:val="24"/>
      <w:szCs w:val="24"/>
      <w:lang w:eastAsia="en-US"/>
    </w:rPr>
  </w:style>
  <w:style w:type="paragraph" w:styleId="Heading1">
    <w:name w:val="heading 1"/>
    <w:basedOn w:val="Normal"/>
    <w:next w:val="Normal"/>
    <w:link w:val="Heading1Char"/>
    <w:uiPriority w:val="9"/>
    <w:qFormat/>
    <w:rsid w:val="00FC23CD"/>
    <w:pPr>
      <w:keepNext/>
      <w:keepLines/>
      <w:spacing w:before="480"/>
      <w:ind w:firstLine="0"/>
      <w:outlineLvl w:val="0"/>
    </w:pPr>
    <w:rPr>
      <w:rFonts w:asciiTheme="majorHAnsi" w:eastAsiaTheme="majorEastAsia" w:hAnsiTheme="majorHAnsi" w:cstheme="majorBidi"/>
      <w:b/>
      <w:bCs/>
      <w:sz w:val="32"/>
      <w:szCs w:val="32"/>
    </w:rPr>
  </w:style>
  <w:style w:type="paragraph" w:styleId="Heading2">
    <w:name w:val="heading 2"/>
    <w:basedOn w:val="Body"/>
    <w:next w:val="Normal"/>
    <w:link w:val="Heading2Char"/>
    <w:uiPriority w:val="9"/>
    <w:unhideWhenUsed/>
    <w:qFormat/>
    <w:rsid w:val="0032182F"/>
    <w:pPr>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rsid w:val="002B7427"/>
    <w:pPr>
      <w:tabs>
        <w:tab w:val="left" w:pos="360"/>
      </w:tabs>
      <w:spacing w:line="240" w:lineRule="auto"/>
      <w:ind w:left="360" w:firstLine="0"/>
      <w:jc w:val="both"/>
    </w:pPr>
    <w:rPr>
      <w:rFonts w:ascii="Palatino" w:eastAsia="Times New Roman" w:hAnsi="Palatino"/>
      <w:sz w:val="20"/>
      <w:szCs w:val="20"/>
    </w:rPr>
  </w:style>
  <w:style w:type="paragraph" w:customStyle="1" w:styleId="Bullet">
    <w:name w:val="Bullet"/>
    <w:basedOn w:val="Normal"/>
    <w:rsid w:val="002B7427"/>
    <w:pPr>
      <w:numPr>
        <w:numId w:val="1"/>
      </w:numPr>
      <w:tabs>
        <w:tab w:val="clear" w:pos="360"/>
      </w:tabs>
      <w:spacing w:line="240" w:lineRule="auto"/>
      <w:jc w:val="both"/>
    </w:pPr>
    <w:rPr>
      <w:rFonts w:eastAsia="Times New Roman"/>
      <w:szCs w:val="20"/>
    </w:rPr>
  </w:style>
  <w:style w:type="paragraph" w:customStyle="1" w:styleId="Bullet2">
    <w:name w:val="Bullet2"/>
    <w:basedOn w:val="Bullet"/>
    <w:rsid w:val="002B7427"/>
    <w:pPr>
      <w:numPr>
        <w:numId w:val="2"/>
      </w:numPr>
      <w:tabs>
        <w:tab w:val="clear" w:pos="720"/>
      </w:tabs>
    </w:pPr>
  </w:style>
  <w:style w:type="character" w:customStyle="1" w:styleId="Heading1Char">
    <w:name w:val="Heading 1 Char"/>
    <w:basedOn w:val="DefaultParagraphFont"/>
    <w:link w:val="Heading1"/>
    <w:uiPriority w:val="9"/>
    <w:rsid w:val="00FC23CD"/>
    <w:rPr>
      <w:rFonts w:asciiTheme="majorHAnsi" w:eastAsiaTheme="majorEastAsia" w:hAnsiTheme="majorHAnsi" w:cstheme="majorBidi"/>
      <w:b/>
      <w:bCs/>
      <w:sz w:val="32"/>
      <w:szCs w:val="32"/>
      <w:lang w:eastAsia="en-US"/>
    </w:rPr>
  </w:style>
  <w:style w:type="paragraph" w:customStyle="1" w:styleId="Quotation">
    <w:name w:val="Quotation"/>
    <w:basedOn w:val="Bullet2"/>
    <w:rsid w:val="00DC6CEC"/>
    <w:pPr>
      <w:numPr>
        <w:numId w:val="0"/>
      </w:numPr>
      <w:ind w:left="360"/>
    </w:pPr>
    <w:rPr>
      <w:rFonts w:ascii="Times New Roman" w:hAnsi="Times New Roman"/>
      <w:sz w:val="20"/>
    </w:rPr>
  </w:style>
  <w:style w:type="paragraph" w:styleId="EndnoteText">
    <w:name w:val="endnote text"/>
    <w:basedOn w:val="Normal"/>
    <w:link w:val="EndnoteTextChar"/>
    <w:semiHidden/>
    <w:rsid w:val="00F61110"/>
    <w:pPr>
      <w:spacing w:line="240" w:lineRule="auto"/>
      <w:ind w:firstLine="0"/>
    </w:pPr>
    <w:rPr>
      <w:rFonts w:ascii="Times New Roman" w:eastAsia="Times New Roman" w:hAnsi="Times New Roman"/>
      <w:szCs w:val="20"/>
      <w:lang w:val="en-CA" w:eastAsia="zh-CN"/>
    </w:rPr>
  </w:style>
  <w:style w:type="character" w:customStyle="1" w:styleId="EndnoteTextChar">
    <w:name w:val="Endnote Text Char"/>
    <w:basedOn w:val="DefaultParagraphFont"/>
    <w:link w:val="EndnoteText"/>
    <w:semiHidden/>
    <w:rsid w:val="00F61110"/>
    <w:rPr>
      <w:rFonts w:eastAsia="Times New Roman"/>
      <w:sz w:val="24"/>
      <w:lang w:val="en-CA" w:eastAsia="zh-CN"/>
    </w:rPr>
  </w:style>
  <w:style w:type="character" w:styleId="FootnoteReference">
    <w:name w:val="footnote reference"/>
    <w:basedOn w:val="DefaultParagraphFont"/>
    <w:rsid w:val="002E4099"/>
    <w:rPr>
      <w:position w:val="6"/>
      <w:sz w:val="16"/>
    </w:rPr>
  </w:style>
  <w:style w:type="paragraph" w:styleId="FootnoteText">
    <w:name w:val="footnote text"/>
    <w:basedOn w:val="Normal"/>
    <w:link w:val="FootnoteTextChar"/>
    <w:uiPriority w:val="99"/>
    <w:rsid w:val="002E4099"/>
    <w:pPr>
      <w:widowControl w:val="0"/>
      <w:spacing w:line="240" w:lineRule="auto"/>
      <w:jc w:val="both"/>
    </w:pPr>
    <w:rPr>
      <w:rFonts w:ascii="Times New Roman" w:eastAsia="Times" w:hAnsi="Times New Roman"/>
      <w:sz w:val="20"/>
      <w:szCs w:val="20"/>
    </w:rPr>
  </w:style>
  <w:style w:type="character" w:customStyle="1" w:styleId="FootnoteTextChar">
    <w:name w:val="Footnote Text Char"/>
    <w:basedOn w:val="DefaultParagraphFont"/>
    <w:link w:val="FootnoteText"/>
    <w:uiPriority w:val="99"/>
    <w:rsid w:val="002E4099"/>
    <w:rPr>
      <w:rFonts w:eastAsia="Times"/>
      <w:lang w:eastAsia="en-US"/>
    </w:rPr>
  </w:style>
  <w:style w:type="character" w:styleId="CommentReference">
    <w:name w:val="annotation reference"/>
    <w:basedOn w:val="DefaultParagraphFont"/>
    <w:uiPriority w:val="99"/>
    <w:unhideWhenUsed/>
    <w:rsid w:val="008224C5"/>
    <w:rPr>
      <w:sz w:val="18"/>
      <w:szCs w:val="18"/>
    </w:rPr>
  </w:style>
  <w:style w:type="paragraph" w:styleId="CommentText">
    <w:name w:val="annotation text"/>
    <w:basedOn w:val="Normal"/>
    <w:link w:val="CommentTextChar"/>
    <w:uiPriority w:val="99"/>
    <w:unhideWhenUsed/>
    <w:rsid w:val="008224C5"/>
    <w:pPr>
      <w:spacing w:line="240" w:lineRule="auto"/>
    </w:pPr>
  </w:style>
  <w:style w:type="character" w:customStyle="1" w:styleId="CommentTextChar">
    <w:name w:val="Comment Text Char"/>
    <w:basedOn w:val="DefaultParagraphFont"/>
    <w:link w:val="CommentText"/>
    <w:uiPriority w:val="99"/>
    <w:semiHidden/>
    <w:rsid w:val="008224C5"/>
    <w:rPr>
      <w:rFonts w:ascii="Baskerville" w:hAnsi="Baskerville"/>
      <w:sz w:val="24"/>
      <w:szCs w:val="24"/>
      <w:lang w:eastAsia="en-US"/>
    </w:rPr>
  </w:style>
  <w:style w:type="paragraph" w:styleId="CommentSubject">
    <w:name w:val="annotation subject"/>
    <w:basedOn w:val="CommentText"/>
    <w:next w:val="CommentText"/>
    <w:link w:val="CommentSubjectChar"/>
    <w:uiPriority w:val="99"/>
    <w:semiHidden/>
    <w:unhideWhenUsed/>
    <w:rsid w:val="008224C5"/>
    <w:rPr>
      <w:b/>
      <w:bCs/>
      <w:sz w:val="20"/>
      <w:szCs w:val="20"/>
    </w:rPr>
  </w:style>
  <w:style w:type="character" w:customStyle="1" w:styleId="CommentSubjectChar">
    <w:name w:val="Comment Subject Char"/>
    <w:basedOn w:val="CommentTextChar"/>
    <w:link w:val="CommentSubject"/>
    <w:uiPriority w:val="99"/>
    <w:semiHidden/>
    <w:rsid w:val="008224C5"/>
    <w:rPr>
      <w:rFonts w:ascii="Baskerville" w:hAnsi="Baskerville"/>
      <w:b/>
      <w:bCs/>
      <w:sz w:val="24"/>
      <w:szCs w:val="24"/>
      <w:lang w:eastAsia="en-US"/>
    </w:rPr>
  </w:style>
  <w:style w:type="paragraph" w:styleId="Revision">
    <w:name w:val="Revision"/>
    <w:hidden/>
    <w:uiPriority w:val="99"/>
    <w:semiHidden/>
    <w:rsid w:val="008224C5"/>
    <w:rPr>
      <w:rFonts w:ascii="Baskerville" w:hAnsi="Baskerville"/>
      <w:sz w:val="24"/>
      <w:szCs w:val="24"/>
      <w:lang w:eastAsia="en-US"/>
    </w:rPr>
  </w:style>
  <w:style w:type="paragraph" w:styleId="BalloonText">
    <w:name w:val="Balloon Text"/>
    <w:basedOn w:val="Normal"/>
    <w:link w:val="BalloonTextChar"/>
    <w:uiPriority w:val="99"/>
    <w:semiHidden/>
    <w:unhideWhenUsed/>
    <w:rsid w:val="008224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C5"/>
    <w:rPr>
      <w:rFonts w:ascii="Lucida Grande" w:hAnsi="Lucida Grande" w:cs="Lucida Grande"/>
      <w:sz w:val="18"/>
      <w:szCs w:val="18"/>
      <w:lang w:eastAsia="en-US"/>
    </w:rPr>
  </w:style>
  <w:style w:type="paragraph" w:styleId="Footer">
    <w:name w:val="footer"/>
    <w:basedOn w:val="Normal"/>
    <w:link w:val="FooterChar"/>
    <w:uiPriority w:val="99"/>
    <w:unhideWhenUsed/>
    <w:rsid w:val="008224C5"/>
    <w:pPr>
      <w:tabs>
        <w:tab w:val="center" w:pos="4320"/>
        <w:tab w:val="right" w:pos="8640"/>
      </w:tabs>
      <w:spacing w:line="240" w:lineRule="auto"/>
    </w:pPr>
  </w:style>
  <w:style w:type="character" w:customStyle="1" w:styleId="FooterChar">
    <w:name w:val="Footer Char"/>
    <w:basedOn w:val="DefaultParagraphFont"/>
    <w:link w:val="Footer"/>
    <w:uiPriority w:val="99"/>
    <w:rsid w:val="008224C5"/>
    <w:rPr>
      <w:rFonts w:ascii="Baskerville" w:hAnsi="Baskerville"/>
      <w:sz w:val="24"/>
      <w:szCs w:val="24"/>
      <w:lang w:eastAsia="en-US"/>
    </w:rPr>
  </w:style>
  <w:style w:type="character" w:styleId="PageNumber">
    <w:name w:val="page number"/>
    <w:basedOn w:val="DefaultParagraphFont"/>
    <w:uiPriority w:val="99"/>
    <w:semiHidden/>
    <w:unhideWhenUsed/>
    <w:rsid w:val="008224C5"/>
  </w:style>
  <w:style w:type="paragraph" w:styleId="DocumentMap">
    <w:name w:val="Document Map"/>
    <w:basedOn w:val="Normal"/>
    <w:link w:val="DocumentMapChar"/>
    <w:uiPriority w:val="99"/>
    <w:semiHidden/>
    <w:unhideWhenUsed/>
    <w:rsid w:val="00CC69D2"/>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C69D2"/>
    <w:rPr>
      <w:rFonts w:ascii="Lucida Grande" w:hAnsi="Lucida Grande" w:cs="Lucida Grande"/>
      <w:sz w:val="24"/>
      <w:szCs w:val="24"/>
      <w:lang w:eastAsia="en-US"/>
    </w:rPr>
  </w:style>
  <w:style w:type="paragraph" w:customStyle="1" w:styleId="Body">
    <w:name w:val="Body"/>
    <w:basedOn w:val="Normal"/>
    <w:rsid w:val="007F3E91"/>
    <w:pPr>
      <w:spacing w:line="276" w:lineRule="auto"/>
      <w:jc w:val="both"/>
    </w:pPr>
    <w:rPr>
      <w:rFonts w:ascii="Times New Roman" w:eastAsia="Times" w:hAnsi="Times New Roman"/>
      <w:sz w:val="20"/>
      <w:szCs w:val="20"/>
    </w:rPr>
  </w:style>
  <w:style w:type="paragraph" w:styleId="Header">
    <w:name w:val="header"/>
    <w:basedOn w:val="Normal"/>
    <w:link w:val="HeaderChar"/>
    <w:uiPriority w:val="99"/>
    <w:unhideWhenUsed/>
    <w:rsid w:val="008C682A"/>
    <w:pPr>
      <w:tabs>
        <w:tab w:val="center" w:pos="4320"/>
        <w:tab w:val="right" w:pos="8640"/>
      </w:tabs>
      <w:spacing w:line="240" w:lineRule="auto"/>
    </w:pPr>
  </w:style>
  <w:style w:type="character" w:customStyle="1" w:styleId="HeaderChar">
    <w:name w:val="Header Char"/>
    <w:basedOn w:val="DefaultParagraphFont"/>
    <w:link w:val="Header"/>
    <w:uiPriority w:val="99"/>
    <w:rsid w:val="008C682A"/>
    <w:rPr>
      <w:rFonts w:ascii="Baskerville" w:hAnsi="Baskerville"/>
      <w:sz w:val="24"/>
      <w:szCs w:val="24"/>
      <w:lang w:eastAsia="en-US"/>
    </w:rPr>
  </w:style>
  <w:style w:type="character" w:customStyle="1" w:styleId="Heading2Char">
    <w:name w:val="Heading 2 Char"/>
    <w:basedOn w:val="DefaultParagraphFont"/>
    <w:link w:val="Heading2"/>
    <w:uiPriority w:val="9"/>
    <w:rsid w:val="0032182F"/>
    <w:rPr>
      <w:rFonts w:eastAsia="Times"/>
      <w:b/>
      <w:lang w:eastAsia="en-US"/>
    </w:rPr>
  </w:style>
  <w:style w:type="paragraph" w:styleId="Quote0">
    <w:name w:val="Quote"/>
    <w:basedOn w:val="Normal"/>
    <w:link w:val="QuoteChar"/>
    <w:qFormat/>
    <w:rsid w:val="001C735B"/>
    <w:pPr>
      <w:spacing w:line="240" w:lineRule="auto"/>
      <w:ind w:left="360" w:right="360" w:firstLine="0"/>
      <w:jc w:val="both"/>
    </w:pPr>
    <w:rPr>
      <w:rFonts w:ascii="Palatino" w:eastAsia="Times New Roman" w:hAnsi="Palatino" w:cs="Times"/>
      <w:sz w:val="20"/>
      <w:szCs w:val="20"/>
    </w:rPr>
  </w:style>
  <w:style w:type="character" w:customStyle="1" w:styleId="QuoteChar">
    <w:name w:val="Quote Char"/>
    <w:basedOn w:val="DefaultParagraphFont"/>
    <w:link w:val="Quote0"/>
    <w:rsid w:val="001C735B"/>
    <w:rPr>
      <w:rFonts w:ascii="Palatino" w:eastAsia="Times New Roman" w:hAnsi="Palatino" w:cs="Times"/>
      <w:lang w:eastAsia="en-US"/>
    </w:rPr>
  </w:style>
  <w:style w:type="character" w:styleId="EndnoteReference">
    <w:name w:val="endnote reference"/>
    <w:semiHidden/>
    <w:rsid w:val="001C735B"/>
    <w:rPr>
      <w:vertAlign w:val="superscript"/>
    </w:rPr>
  </w:style>
  <w:style w:type="paragraph" w:customStyle="1" w:styleId="Author">
    <w:name w:val="Author"/>
    <w:basedOn w:val="Normal"/>
    <w:rsid w:val="007456CE"/>
    <w:pPr>
      <w:tabs>
        <w:tab w:val="left" w:pos="900"/>
        <w:tab w:val="left" w:pos="1080"/>
        <w:tab w:val="left" w:pos="2520"/>
      </w:tabs>
      <w:spacing w:line="240" w:lineRule="auto"/>
      <w:ind w:left="2520" w:hanging="2520"/>
    </w:pPr>
    <w:rPr>
      <w:rFonts w:ascii="Times New Roman" w:eastAsia="Times New Roman" w:hAnsi="Times New Roman"/>
      <w:sz w:val="22"/>
    </w:rPr>
  </w:style>
  <w:style w:type="paragraph" w:customStyle="1" w:styleId="Work">
    <w:name w:val="Work"/>
    <w:basedOn w:val="Author"/>
    <w:rsid w:val="00234A31"/>
    <w:pPr>
      <w:tabs>
        <w:tab w:val="clear" w:pos="900"/>
        <w:tab w:val="clear" w:pos="1080"/>
      </w:tabs>
      <w:ind w:hanging="21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89"/>
    <w:pPr>
      <w:spacing w:line="360" w:lineRule="auto"/>
      <w:ind w:firstLine="360"/>
    </w:pPr>
    <w:rPr>
      <w:rFonts w:ascii="Baskerville" w:hAnsi="Baskerville"/>
      <w:sz w:val="24"/>
      <w:szCs w:val="24"/>
      <w:lang w:eastAsia="en-US"/>
    </w:rPr>
  </w:style>
  <w:style w:type="paragraph" w:styleId="Heading1">
    <w:name w:val="heading 1"/>
    <w:basedOn w:val="Normal"/>
    <w:next w:val="Normal"/>
    <w:link w:val="Heading1Char"/>
    <w:uiPriority w:val="9"/>
    <w:qFormat/>
    <w:rsid w:val="00FC23CD"/>
    <w:pPr>
      <w:keepNext/>
      <w:keepLines/>
      <w:spacing w:before="480"/>
      <w:ind w:firstLine="0"/>
      <w:outlineLvl w:val="0"/>
    </w:pPr>
    <w:rPr>
      <w:rFonts w:asciiTheme="majorHAnsi" w:eastAsiaTheme="majorEastAsia" w:hAnsiTheme="majorHAnsi" w:cstheme="majorBidi"/>
      <w:b/>
      <w:bCs/>
      <w:sz w:val="32"/>
      <w:szCs w:val="32"/>
    </w:rPr>
  </w:style>
  <w:style w:type="paragraph" w:styleId="Heading2">
    <w:name w:val="heading 2"/>
    <w:basedOn w:val="Body"/>
    <w:next w:val="Normal"/>
    <w:link w:val="Heading2Char"/>
    <w:uiPriority w:val="9"/>
    <w:unhideWhenUsed/>
    <w:qFormat/>
    <w:rsid w:val="0032182F"/>
    <w:pPr>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
    <w:name w:val="quote"/>
    <w:basedOn w:val="Normal"/>
    <w:rsid w:val="002B7427"/>
    <w:pPr>
      <w:tabs>
        <w:tab w:val="left" w:pos="360"/>
      </w:tabs>
      <w:spacing w:line="240" w:lineRule="auto"/>
      <w:ind w:left="360" w:firstLine="0"/>
      <w:jc w:val="both"/>
    </w:pPr>
    <w:rPr>
      <w:rFonts w:ascii="Palatino" w:eastAsia="Times New Roman" w:hAnsi="Palatino"/>
      <w:sz w:val="20"/>
      <w:szCs w:val="20"/>
    </w:rPr>
  </w:style>
  <w:style w:type="paragraph" w:customStyle="1" w:styleId="Bullet">
    <w:name w:val="Bullet"/>
    <w:basedOn w:val="Normal"/>
    <w:rsid w:val="002B7427"/>
    <w:pPr>
      <w:numPr>
        <w:numId w:val="1"/>
      </w:numPr>
      <w:tabs>
        <w:tab w:val="clear" w:pos="360"/>
      </w:tabs>
      <w:spacing w:line="240" w:lineRule="auto"/>
      <w:jc w:val="both"/>
    </w:pPr>
    <w:rPr>
      <w:rFonts w:eastAsia="Times New Roman"/>
      <w:szCs w:val="20"/>
    </w:rPr>
  </w:style>
  <w:style w:type="paragraph" w:customStyle="1" w:styleId="Bullet2">
    <w:name w:val="Bullet2"/>
    <w:basedOn w:val="Bullet"/>
    <w:rsid w:val="002B7427"/>
    <w:pPr>
      <w:numPr>
        <w:numId w:val="2"/>
      </w:numPr>
      <w:tabs>
        <w:tab w:val="clear" w:pos="720"/>
      </w:tabs>
    </w:pPr>
  </w:style>
  <w:style w:type="character" w:customStyle="1" w:styleId="Heading1Char">
    <w:name w:val="Heading 1 Char"/>
    <w:basedOn w:val="DefaultParagraphFont"/>
    <w:link w:val="Heading1"/>
    <w:uiPriority w:val="9"/>
    <w:rsid w:val="00FC23CD"/>
    <w:rPr>
      <w:rFonts w:asciiTheme="majorHAnsi" w:eastAsiaTheme="majorEastAsia" w:hAnsiTheme="majorHAnsi" w:cstheme="majorBidi"/>
      <w:b/>
      <w:bCs/>
      <w:sz w:val="32"/>
      <w:szCs w:val="32"/>
      <w:lang w:eastAsia="en-US"/>
    </w:rPr>
  </w:style>
  <w:style w:type="paragraph" w:customStyle="1" w:styleId="Quotation">
    <w:name w:val="Quotation"/>
    <w:basedOn w:val="Bullet2"/>
    <w:rsid w:val="00DC6CEC"/>
    <w:pPr>
      <w:numPr>
        <w:numId w:val="0"/>
      </w:numPr>
      <w:ind w:left="360"/>
    </w:pPr>
    <w:rPr>
      <w:rFonts w:ascii="Times New Roman" w:hAnsi="Times New Roman"/>
      <w:sz w:val="20"/>
    </w:rPr>
  </w:style>
  <w:style w:type="paragraph" w:styleId="EndnoteText">
    <w:name w:val="endnote text"/>
    <w:basedOn w:val="Normal"/>
    <w:link w:val="EndnoteTextChar"/>
    <w:semiHidden/>
    <w:rsid w:val="00F61110"/>
    <w:pPr>
      <w:spacing w:line="240" w:lineRule="auto"/>
      <w:ind w:firstLine="0"/>
    </w:pPr>
    <w:rPr>
      <w:rFonts w:ascii="Times New Roman" w:eastAsia="Times New Roman" w:hAnsi="Times New Roman"/>
      <w:szCs w:val="20"/>
      <w:lang w:val="en-CA" w:eastAsia="zh-CN"/>
    </w:rPr>
  </w:style>
  <w:style w:type="character" w:customStyle="1" w:styleId="EndnoteTextChar">
    <w:name w:val="Endnote Text Char"/>
    <w:basedOn w:val="DefaultParagraphFont"/>
    <w:link w:val="EndnoteText"/>
    <w:semiHidden/>
    <w:rsid w:val="00F61110"/>
    <w:rPr>
      <w:rFonts w:eastAsia="Times New Roman"/>
      <w:sz w:val="24"/>
      <w:lang w:val="en-CA" w:eastAsia="zh-CN"/>
    </w:rPr>
  </w:style>
  <w:style w:type="character" w:styleId="FootnoteReference">
    <w:name w:val="footnote reference"/>
    <w:basedOn w:val="DefaultParagraphFont"/>
    <w:rsid w:val="002E4099"/>
    <w:rPr>
      <w:position w:val="6"/>
      <w:sz w:val="16"/>
    </w:rPr>
  </w:style>
  <w:style w:type="paragraph" w:styleId="FootnoteText">
    <w:name w:val="footnote text"/>
    <w:basedOn w:val="Normal"/>
    <w:link w:val="FootnoteTextChar"/>
    <w:uiPriority w:val="99"/>
    <w:rsid w:val="002E4099"/>
    <w:pPr>
      <w:widowControl w:val="0"/>
      <w:spacing w:line="240" w:lineRule="auto"/>
      <w:jc w:val="both"/>
    </w:pPr>
    <w:rPr>
      <w:rFonts w:ascii="Times New Roman" w:eastAsia="Times" w:hAnsi="Times New Roman"/>
      <w:sz w:val="20"/>
      <w:szCs w:val="20"/>
    </w:rPr>
  </w:style>
  <w:style w:type="character" w:customStyle="1" w:styleId="FootnoteTextChar">
    <w:name w:val="Footnote Text Char"/>
    <w:basedOn w:val="DefaultParagraphFont"/>
    <w:link w:val="FootnoteText"/>
    <w:uiPriority w:val="99"/>
    <w:rsid w:val="002E4099"/>
    <w:rPr>
      <w:rFonts w:eastAsia="Times"/>
      <w:lang w:eastAsia="en-US"/>
    </w:rPr>
  </w:style>
  <w:style w:type="character" w:styleId="CommentReference">
    <w:name w:val="annotation reference"/>
    <w:basedOn w:val="DefaultParagraphFont"/>
    <w:uiPriority w:val="99"/>
    <w:unhideWhenUsed/>
    <w:rsid w:val="008224C5"/>
    <w:rPr>
      <w:sz w:val="18"/>
      <w:szCs w:val="18"/>
    </w:rPr>
  </w:style>
  <w:style w:type="paragraph" w:styleId="CommentText">
    <w:name w:val="annotation text"/>
    <w:basedOn w:val="Normal"/>
    <w:link w:val="CommentTextChar"/>
    <w:uiPriority w:val="99"/>
    <w:unhideWhenUsed/>
    <w:rsid w:val="008224C5"/>
    <w:pPr>
      <w:spacing w:line="240" w:lineRule="auto"/>
    </w:pPr>
  </w:style>
  <w:style w:type="character" w:customStyle="1" w:styleId="CommentTextChar">
    <w:name w:val="Comment Text Char"/>
    <w:basedOn w:val="DefaultParagraphFont"/>
    <w:link w:val="CommentText"/>
    <w:uiPriority w:val="99"/>
    <w:semiHidden/>
    <w:rsid w:val="008224C5"/>
    <w:rPr>
      <w:rFonts w:ascii="Baskerville" w:hAnsi="Baskerville"/>
      <w:sz w:val="24"/>
      <w:szCs w:val="24"/>
      <w:lang w:eastAsia="en-US"/>
    </w:rPr>
  </w:style>
  <w:style w:type="paragraph" w:styleId="CommentSubject">
    <w:name w:val="annotation subject"/>
    <w:basedOn w:val="CommentText"/>
    <w:next w:val="CommentText"/>
    <w:link w:val="CommentSubjectChar"/>
    <w:uiPriority w:val="99"/>
    <w:semiHidden/>
    <w:unhideWhenUsed/>
    <w:rsid w:val="008224C5"/>
    <w:rPr>
      <w:b/>
      <w:bCs/>
      <w:sz w:val="20"/>
      <w:szCs w:val="20"/>
    </w:rPr>
  </w:style>
  <w:style w:type="character" w:customStyle="1" w:styleId="CommentSubjectChar">
    <w:name w:val="Comment Subject Char"/>
    <w:basedOn w:val="CommentTextChar"/>
    <w:link w:val="CommentSubject"/>
    <w:uiPriority w:val="99"/>
    <w:semiHidden/>
    <w:rsid w:val="008224C5"/>
    <w:rPr>
      <w:rFonts w:ascii="Baskerville" w:hAnsi="Baskerville"/>
      <w:b/>
      <w:bCs/>
      <w:sz w:val="24"/>
      <w:szCs w:val="24"/>
      <w:lang w:eastAsia="en-US"/>
    </w:rPr>
  </w:style>
  <w:style w:type="paragraph" w:styleId="Revision">
    <w:name w:val="Revision"/>
    <w:hidden/>
    <w:uiPriority w:val="99"/>
    <w:semiHidden/>
    <w:rsid w:val="008224C5"/>
    <w:rPr>
      <w:rFonts w:ascii="Baskerville" w:hAnsi="Baskerville"/>
      <w:sz w:val="24"/>
      <w:szCs w:val="24"/>
      <w:lang w:eastAsia="en-US"/>
    </w:rPr>
  </w:style>
  <w:style w:type="paragraph" w:styleId="BalloonText">
    <w:name w:val="Balloon Text"/>
    <w:basedOn w:val="Normal"/>
    <w:link w:val="BalloonTextChar"/>
    <w:uiPriority w:val="99"/>
    <w:semiHidden/>
    <w:unhideWhenUsed/>
    <w:rsid w:val="008224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C5"/>
    <w:rPr>
      <w:rFonts w:ascii="Lucida Grande" w:hAnsi="Lucida Grande" w:cs="Lucida Grande"/>
      <w:sz w:val="18"/>
      <w:szCs w:val="18"/>
      <w:lang w:eastAsia="en-US"/>
    </w:rPr>
  </w:style>
  <w:style w:type="paragraph" w:styleId="Footer">
    <w:name w:val="footer"/>
    <w:basedOn w:val="Normal"/>
    <w:link w:val="FooterChar"/>
    <w:uiPriority w:val="99"/>
    <w:unhideWhenUsed/>
    <w:rsid w:val="008224C5"/>
    <w:pPr>
      <w:tabs>
        <w:tab w:val="center" w:pos="4320"/>
        <w:tab w:val="right" w:pos="8640"/>
      </w:tabs>
      <w:spacing w:line="240" w:lineRule="auto"/>
    </w:pPr>
  </w:style>
  <w:style w:type="character" w:customStyle="1" w:styleId="FooterChar">
    <w:name w:val="Footer Char"/>
    <w:basedOn w:val="DefaultParagraphFont"/>
    <w:link w:val="Footer"/>
    <w:uiPriority w:val="99"/>
    <w:rsid w:val="008224C5"/>
    <w:rPr>
      <w:rFonts w:ascii="Baskerville" w:hAnsi="Baskerville"/>
      <w:sz w:val="24"/>
      <w:szCs w:val="24"/>
      <w:lang w:eastAsia="en-US"/>
    </w:rPr>
  </w:style>
  <w:style w:type="character" w:styleId="PageNumber">
    <w:name w:val="page number"/>
    <w:basedOn w:val="DefaultParagraphFont"/>
    <w:uiPriority w:val="99"/>
    <w:semiHidden/>
    <w:unhideWhenUsed/>
    <w:rsid w:val="008224C5"/>
  </w:style>
  <w:style w:type="paragraph" w:styleId="DocumentMap">
    <w:name w:val="Document Map"/>
    <w:basedOn w:val="Normal"/>
    <w:link w:val="DocumentMapChar"/>
    <w:uiPriority w:val="99"/>
    <w:semiHidden/>
    <w:unhideWhenUsed/>
    <w:rsid w:val="00CC69D2"/>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C69D2"/>
    <w:rPr>
      <w:rFonts w:ascii="Lucida Grande" w:hAnsi="Lucida Grande" w:cs="Lucida Grande"/>
      <w:sz w:val="24"/>
      <w:szCs w:val="24"/>
      <w:lang w:eastAsia="en-US"/>
    </w:rPr>
  </w:style>
  <w:style w:type="paragraph" w:customStyle="1" w:styleId="Body">
    <w:name w:val="Body"/>
    <w:basedOn w:val="Normal"/>
    <w:rsid w:val="007F3E91"/>
    <w:pPr>
      <w:spacing w:line="276" w:lineRule="auto"/>
      <w:jc w:val="both"/>
    </w:pPr>
    <w:rPr>
      <w:rFonts w:ascii="Times New Roman" w:eastAsia="Times" w:hAnsi="Times New Roman"/>
      <w:sz w:val="20"/>
      <w:szCs w:val="20"/>
    </w:rPr>
  </w:style>
  <w:style w:type="paragraph" w:styleId="Header">
    <w:name w:val="header"/>
    <w:basedOn w:val="Normal"/>
    <w:link w:val="HeaderChar"/>
    <w:uiPriority w:val="99"/>
    <w:unhideWhenUsed/>
    <w:rsid w:val="008C682A"/>
    <w:pPr>
      <w:tabs>
        <w:tab w:val="center" w:pos="4320"/>
        <w:tab w:val="right" w:pos="8640"/>
      </w:tabs>
      <w:spacing w:line="240" w:lineRule="auto"/>
    </w:pPr>
  </w:style>
  <w:style w:type="character" w:customStyle="1" w:styleId="HeaderChar">
    <w:name w:val="Header Char"/>
    <w:basedOn w:val="DefaultParagraphFont"/>
    <w:link w:val="Header"/>
    <w:uiPriority w:val="99"/>
    <w:rsid w:val="008C682A"/>
    <w:rPr>
      <w:rFonts w:ascii="Baskerville" w:hAnsi="Baskerville"/>
      <w:sz w:val="24"/>
      <w:szCs w:val="24"/>
      <w:lang w:eastAsia="en-US"/>
    </w:rPr>
  </w:style>
  <w:style w:type="character" w:customStyle="1" w:styleId="Heading2Char">
    <w:name w:val="Heading 2 Char"/>
    <w:basedOn w:val="DefaultParagraphFont"/>
    <w:link w:val="Heading2"/>
    <w:uiPriority w:val="9"/>
    <w:rsid w:val="0032182F"/>
    <w:rPr>
      <w:rFonts w:eastAsia="Times"/>
      <w:b/>
      <w:lang w:eastAsia="en-US"/>
    </w:rPr>
  </w:style>
  <w:style w:type="paragraph" w:styleId="Quote0">
    <w:name w:val="Quote"/>
    <w:basedOn w:val="Normal"/>
    <w:link w:val="QuoteChar"/>
    <w:qFormat/>
    <w:rsid w:val="001C735B"/>
    <w:pPr>
      <w:spacing w:line="240" w:lineRule="auto"/>
      <w:ind w:left="360" w:right="360" w:firstLine="0"/>
      <w:jc w:val="both"/>
    </w:pPr>
    <w:rPr>
      <w:rFonts w:ascii="Palatino" w:eastAsia="Times New Roman" w:hAnsi="Palatino" w:cs="Times"/>
      <w:sz w:val="20"/>
      <w:szCs w:val="20"/>
    </w:rPr>
  </w:style>
  <w:style w:type="character" w:customStyle="1" w:styleId="QuoteChar">
    <w:name w:val="Quote Char"/>
    <w:basedOn w:val="DefaultParagraphFont"/>
    <w:link w:val="Quote0"/>
    <w:rsid w:val="001C735B"/>
    <w:rPr>
      <w:rFonts w:ascii="Palatino" w:eastAsia="Times New Roman" w:hAnsi="Palatino" w:cs="Times"/>
      <w:lang w:eastAsia="en-US"/>
    </w:rPr>
  </w:style>
  <w:style w:type="character" w:styleId="EndnoteReference">
    <w:name w:val="endnote reference"/>
    <w:semiHidden/>
    <w:rsid w:val="001C735B"/>
    <w:rPr>
      <w:vertAlign w:val="superscript"/>
    </w:rPr>
  </w:style>
  <w:style w:type="paragraph" w:customStyle="1" w:styleId="Author">
    <w:name w:val="Author"/>
    <w:basedOn w:val="Normal"/>
    <w:rsid w:val="007456CE"/>
    <w:pPr>
      <w:tabs>
        <w:tab w:val="left" w:pos="900"/>
        <w:tab w:val="left" w:pos="1080"/>
        <w:tab w:val="left" w:pos="2520"/>
      </w:tabs>
      <w:spacing w:line="240" w:lineRule="auto"/>
      <w:ind w:left="2520" w:hanging="2520"/>
    </w:pPr>
    <w:rPr>
      <w:rFonts w:ascii="Times New Roman" w:eastAsia="Times New Roman" w:hAnsi="Times New Roman"/>
      <w:sz w:val="22"/>
    </w:rPr>
  </w:style>
  <w:style w:type="paragraph" w:customStyle="1" w:styleId="Work">
    <w:name w:val="Work"/>
    <w:basedOn w:val="Author"/>
    <w:rsid w:val="00234A31"/>
    <w:pPr>
      <w:tabs>
        <w:tab w:val="clear" w:pos="900"/>
        <w:tab w:val="clear" w:pos="1080"/>
      </w:tabs>
      <w:ind w:hanging="21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5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8412</Words>
  <Characters>47949</Characters>
  <Application>Microsoft Macintosh Word</Application>
  <DocSecurity>0</DocSecurity>
  <Lines>399</Lines>
  <Paragraphs>112</Paragraphs>
  <ScaleCrop>false</ScaleCrop>
  <Company>San Jose State University</Company>
  <LinksUpToDate>false</LinksUpToDate>
  <CharactersWithSpaces>56249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Stenmark</dc:creator>
  <cp:keywords/>
  <dc:description/>
  <cp:lastModifiedBy>Lisa Stenmark</cp:lastModifiedBy>
  <cp:revision>12</cp:revision>
  <cp:lastPrinted>2012-04-09T00:21:00Z</cp:lastPrinted>
  <dcterms:created xsi:type="dcterms:W3CDTF">2012-04-10T14:18:00Z</dcterms:created>
  <dcterms:modified xsi:type="dcterms:W3CDTF">2012-04-10T14:38:00Z</dcterms:modified>
</cp:coreProperties>
</file>