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9D4407" w:rsidRPr="009D4407" w:rsidRDefault="009D4407" w:rsidP="009D4407">
      <w:pPr>
        <w:spacing w:after="0"/>
        <w:jc w:val="right"/>
        <w:rPr>
          <w:rFonts w:ascii="Arial" w:hAnsi="Arial" w:cs="Arial"/>
          <w:bCs/>
          <w:color w:val="000000"/>
          <w:sz w:val="28"/>
          <w:szCs w:val="28"/>
        </w:rPr>
      </w:pPr>
      <w:r w:rsidRPr="009D4407">
        <w:rPr>
          <w:rFonts w:ascii="Arial" w:hAnsi="Arial" w:cs="Arial"/>
          <w:bCs/>
          <w:color w:val="000000"/>
          <w:sz w:val="28"/>
          <w:szCs w:val="28"/>
        </w:rPr>
        <w:t>Pacific Coast Theological Society</w:t>
      </w:r>
    </w:p>
    <w:p w:rsidR="009D4407" w:rsidRPr="009D4407" w:rsidRDefault="009D4407" w:rsidP="009D4407">
      <w:pPr>
        <w:spacing w:after="0"/>
        <w:jc w:val="right"/>
        <w:rPr>
          <w:rFonts w:ascii="Arial" w:hAnsi="Arial" w:cs="Arial"/>
          <w:bCs/>
          <w:color w:val="000000"/>
          <w:sz w:val="28"/>
          <w:szCs w:val="28"/>
        </w:rPr>
      </w:pPr>
      <w:r w:rsidRPr="009D4407">
        <w:rPr>
          <w:rFonts w:ascii="Arial" w:hAnsi="Arial" w:cs="Arial"/>
          <w:bCs/>
          <w:color w:val="000000"/>
          <w:sz w:val="28"/>
          <w:szCs w:val="28"/>
        </w:rPr>
        <w:t>Spring Meeting, April 1-2, 2016</w:t>
      </w:r>
    </w:p>
    <w:p w:rsidR="009D4407" w:rsidRPr="009D4407" w:rsidRDefault="009D4407" w:rsidP="009D4407">
      <w:pPr>
        <w:spacing w:after="0"/>
        <w:jc w:val="right"/>
        <w:rPr>
          <w:rFonts w:ascii="Arial" w:hAnsi="Arial" w:cs="Arial"/>
          <w:bCs/>
          <w:color w:val="000000"/>
          <w:sz w:val="28"/>
          <w:szCs w:val="28"/>
        </w:rPr>
      </w:pPr>
      <w:r w:rsidRPr="009D4407">
        <w:rPr>
          <w:rFonts w:ascii="Arial" w:hAnsi="Arial" w:cs="Arial"/>
          <w:bCs/>
          <w:color w:val="000000"/>
          <w:sz w:val="28"/>
          <w:szCs w:val="28"/>
        </w:rPr>
        <w:t xml:space="preserve"> “Theology of Animals”</w:t>
      </w:r>
    </w:p>
    <w:p w:rsidR="009D4407" w:rsidRPr="009D4407" w:rsidRDefault="009D4407" w:rsidP="009D4407">
      <w:pPr>
        <w:spacing w:after="0" w:line="360" w:lineRule="auto"/>
        <w:jc w:val="right"/>
        <w:rPr>
          <w:rFonts w:ascii="Times New Roman" w:hAnsi="Times New Roman" w:cs="Times New Roman"/>
          <w:sz w:val="24"/>
          <w:szCs w:val="24"/>
        </w:rPr>
      </w:pPr>
    </w:p>
    <w:p w:rsidR="009D4407" w:rsidRDefault="009D4407" w:rsidP="002413B5">
      <w:pPr>
        <w:spacing w:after="0" w:line="360" w:lineRule="auto"/>
        <w:jc w:val="center"/>
        <w:rPr>
          <w:rFonts w:ascii="Times New Roman" w:hAnsi="Times New Roman" w:cs="Times New Roman"/>
          <w:b/>
          <w:sz w:val="24"/>
          <w:szCs w:val="24"/>
        </w:rPr>
      </w:pPr>
    </w:p>
    <w:p w:rsidR="002413B5" w:rsidRPr="009D4407" w:rsidRDefault="002413B5" w:rsidP="002413B5">
      <w:pPr>
        <w:spacing w:after="0" w:line="360" w:lineRule="auto"/>
        <w:jc w:val="center"/>
        <w:rPr>
          <w:rFonts w:ascii="Times New Roman" w:hAnsi="Times New Roman" w:cs="Times New Roman"/>
          <w:b/>
          <w:sz w:val="32"/>
          <w:szCs w:val="32"/>
        </w:rPr>
      </w:pPr>
      <w:r w:rsidRPr="009D4407">
        <w:rPr>
          <w:rFonts w:ascii="Times New Roman" w:hAnsi="Times New Roman" w:cs="Times New Roman"/>
          <w:b/>
          <w:sz w:val="32"/>
          <w:szCs w:val="32"/>
        </w:rPr>
        <w:t>In Communion with God’s Sparrow</w:t>
      </w:r>
    </w:p>
    <w:p w:rsidR="002413B5" w:rsidRPr="009D4407" w:rsidRDefault="002413B5" w:rsidP="002413B5">
      <w:pPr>
        <w:spacing w:after="0" w:line="360" w:lineRule="auto"/>
        <w:jc w:val="center"/>
        <w:rPr>
          <w:rFonts w:ascii="Times New Roman" w:hAnsi="Times New Roman" w:cs="Times New Roman"/>
          <w:b/>
          <w:sz w:val="32"/>
          <w:szCs w:val="32"/>
        </w:rPr>
      </w:pPr>
      <w:r w:rsidRPr="009D4407">
        <w:rPr>
          <w:rFonts w:ascii="Times New Roman" w:hAnsi="Times New Roman" w:cs="Times New Roman"/>
          <w:b/>
          <w:sz w:val="32"/>
          <w:szCs w:val="32"/>
        </w:rPr>
        <w:t xml:space="preserve"> Incorporating Animal Agency into Catholic Social Teaching</w:t>
      </w:r>
    </w:p>
    <w:p w:rsidR="009D4407" w:rsidRDefault="009D4407" w:rsidP="009D4407">
      <w:pPr>
        <w:spacing w:after="0"/>
        <w:jc w:val="center"/>
        <w:rPr>
          <w:rFonts w:ascii="Times New Roman" w:hAnsi="Times New Roman" w:cs="Times New Roman"/>
          <w:b/>
          <w:sz w:val="24"/>
          <w:szCs w:val="24"/>
        </w:rPr>
      </w:pPr>
    </w:p>
    <w:p w:rsidR="009D4407" w:rsidRDefault="009D4407" w:rsidP="009D4407">
      <w:pPr>
        <w:spacing w:after="0"/>
        <w:jc w:val="center"/>
        <w:rPr>
          <w:rFonts w:ascii="Times New Roman" w:hAnsi="Times New Roman" w:cs="Times New Roman"/>
          <w:b/>
          <w:sz w:val="24"/>
          <w:szCs w:val="24"/>
        </w:rPr>
      </w:pPr>
      <w:r>
        <w:rPr>
          <w:rFonts w:ascii="Times New Roman" w:hAnsi="Times New Roman" w:cs="Times New Roman"/>
          <w:b/>
          <w:sz w:val="24"/>
          <w:szCs w:val="24"/>
        </w:rPr>
        <w:t>by</w:t>
      </w:r>
    </w:p>
    <w:p w:rsidR="002413B5" w:rsidRPr="002413B5" w:rsidRDefault="002413B5" w:rsidP="009D4407">
      <w:pPr>
        <w:spacing w:after="0"/>
        <w:jc w:val="center"/>
        <w:rPr>
          <w:rFonts w:ascii="Times New Roman" w:hAnsi="Times New Roman" w:cs="Times New Roman"/>
          <w:b/>
          <w:sz w:val="24"/>
          <w:szCs w:val="24"/>
        </w:rPr>
      </w:pPr>
      <w:r w:rsidRPr="002413B5">
        <w:rPr>
          <w:rFonts w:ascii="Times New Roman" w:hAnsi="Times New Roman" w:cs="Times New Roman"/>
          <w:b/>
          <w:sz w:val="24"/>
          <w:szCs w:val="24"/>
        </w:rPr>
        <w:t>Mary A. Ashley</w:t>
      </w:r>
    </w:p>
    <w:p w:rsidR="002413B5" w:rsidRPr="002413B5" w:rsidRDefault="002413B5" w:rsidP="002413B5">
      <w:pPr>
        <w:spacing w:after="0"/>
        <w:rPr>
          <w:rFonts w:ascii="Times New Roman" w:hAnsi="Times New Roman" w:cs="Times New Roman"/>
          <w:b/>
          <w:sz w:val="24"/>
          <w:szCs w:val="24"/>
        </w:rPr>
      </w:pPr>
    </w:p>
    <w:p w:rsidR="002F17DE" w:rsidRDefault="002F17DE" w:rsidP="005F3328">
      <w:pPr>
        <w:spacing w:after="0" w:line="480" w:lineRule="auto"/>
        <w:ind w:firstLine="720"/>
        <w:rPr>
          <w:rFonts w:ascii="Times New Roman" w:hAnsi="Times New Roman" w:cs="Times New Roman"/>
          <w:sz w:val="24"/>
          <w:szCs w:val="24"/>
        </w:rPr>
      </w:pPr>
      <w:r w:rsidRPr="000D21BE">
        <w:rPr>
          <w:rFonts w:ascii="Times New Roman" w:hAnsi="Times New Roman" w:cs="Times New Roman"/>
          <w:sz w:val="24"/>
          <w:szCs w:val="24"/>
        </w:rPr>
        <w:t xml:space="preserve">Although secular environmentalism has focused on the degradation of ecological </w:t>
      </w:r>
      <w:r w:rsidRPr="007166D1">
        <w:rPr>
          <w:rFonts w:ascii="Times New Roman" w:hAnsi="Times New Roman" w:cs="Times New Roman"/>
          <w:sz w:val="24"/>
          <w:szCs w:val="24"/>
        </w:rPr>
        <w:t>systems,</w:t>
      </w:r>
      <w:r w:rsidRPr="000D21BE">
        <w:rPr>
          <w:rFonts w:ascii="Times New Roman" w:hAnsi="Times New Roman" w:cs="Times New Roman"/>
          <w:sz w:val="24"/>
          <w:szCs w:val="24"/>
        </w:rPr>
        <w:t xml:space="preserve"> recent Catholic social teaching adds a novel emphasis on the individual of any species. This development coheres with increasing cognizance of the animal’s power to engage us in Earth’s </w:t>
      </w:r>
      <w:proofErr w:type="spellStart"/>
      <w:r w:rsidRPr="000D21BE">
        <w:rPr>
          <w:rFonts w:ascii="Times New Roman" w:hAnsi="Times New Roman" w:cs="Times New Roman"/>
          <w:sz w:val="24"/>
          <w:szCs w:val="24"/>
        </w:rPr>
        <w:t>extrahuman</w:t>
      </w:r>
      <w:proofErr w:type="spellEnd"/>
      <w:r w:rsidRPr="000D21BE">
        <w:rPr>
          <w:rFonts w:ascii="Times New Roman" w:hAnsi="Times New Roman" w:cs="Times New Roman"/>
          <w:sz w:val="24"/>
          <w:szCs w:val="24"/>
        </w:rPr>
        <w:t xml:space="preserve"> sphere. As Anna L. Peterson puts it, animals “lure us to encounter and explore the more-than-human world, to cross the line</w:t>
      </w:r>
      <w:r w:rsidR="000E68F1">
        <w:rPr>
          <w:rFonts w:ascii="Times New Roman" w:hAnsi="Times New Roman" w:cs="Times New Roman"/>
          <w:sz w:val="24"/>
          <w:szCs w:val="24"/>
        </w:rPr>
        <w:t>.</w:t>
      </w:r>
      <w:r w:rsidRPr="000D21BE">
        <w:rPr>
          <w:rFonts w:ascii="Times New Roman" w:hAnsi="Times New Roman" w:cs="Times New Roman"/>
          <w:sz w:val="24"/>
          <w:szCs w:val="24"/>
        </w:rPr>
        <w:t>”</w:t>
      </w:r>
      <w:r w:rsidR="000E68F1">
        <w:rPr>
          <w:rStyle w:val="FootnoteReference"/>
          <w:rFonts w:ascii="Times New Roman" w:hAnsi="Times New Roman" w:cs="Times New Roman"/>
          <w:sz w:val="24"/>
          <w:szCs w:val="24"/>
        </w:rPr>
        <w:footnoteReference w:id="1"/>
      </w:r>
      <w:r w:rsidRPr="000D21BE">
        <w:rPr>
          <w:rFonts w:ascii="Times New Roman" w:hAnsi="Times New Roman" w:cs="Times New Roman"/>
          <w:sz w:val="24"/>
          <w:szCs w:val="24"/>
        </w:rPr>
        <w:t xml:space="preserve"> However, whereas Peterson and others who adhere to a </w:t>
      </w:r>
      <w:proofErr w:type="spellStart"/>
      <w:r w:rsidRPr="000D21BE">
        <w:rPr>
          <w:rFonts w:ascii="Times New Roman" w:hAnsi="Times New Roman" w:cs="Times New Roman"/>
          <w:sz w:val="24"/>
          <w:szCs w:val="24"/>
        </w:rPr>
        <w:t>Merleau-Pontyan</w:t>
      </w:r>
      <w:proofErr w:type="spellEnd"/>
      <w:r w:rsidRPr="000D21BE">
        <w:rPr>
          <w:rFonts w:ascii="Times New Roman" w:hAnsi="Times New Roman" w:cs="Times New Roman"/>
          <w:sz w:val="24"/>
          <w:szCs w:val="24"/>
        </w:rPr>
        <w:t xml:space="preserve"> phenomenology call for greater attention to animals’ ability to </w:t>
      </w:r>
      <w:r>
        <w:rPr>
          <w:rFonts w:ascii="Times New Roman" w:hAnsi="Times New Roman" w:cs="Times New Roman"/>
          <w:sz w:val="24"/>
          <w:szCs w:val="24"/>
        </w:rPr>
        <w:t>choose</w:t>
      </w:r>
      <w:r w:rsidRPr="000D21BE">
        <w:rPr>
          <w:rFonts w:ascii="Times New Roman" w:hAnsi="Times New Roman" w:cs="Times New Roman"/>
          <w:sz w:val="24"/>
          <w:szCs w:val="24"/>
        </w:rPr>
        <w:t xml:space="preserve"> their own actions, or agency;</w:t>
      </w:r>
      <w:r>
        <w:rPr>
          <w:rFonts w:ascii="Times New Roman" w:hAnsi="Times New Roman" w:cs="Times New Roman"/>
          <w:sz w:val="24"/>
          <w:szCs w:val="24"/>
        </w:rPr>
        <w:t xml:space="preserve"> Catholic</w:t>
      </w:r>
      <w:r w:rsidRPr="000D21BE">
        <w:rPr>
          <w:rFonts w:ascii="Times New Roman" w:hAnsi="Times New Roman" w:cs="Times New Roman"/>
          <w:sz w:val="24"/>
          <w:szCs w:val="24"/>
        </w:rPr>
        <w:t xml:space="preserve"> teaching</w:t>
      </w:r>
      <w:r>
        <w:rPr>
          <w:rFonts w:ascii="Times New Roman" w:hAnsi="Times New Roman" w:cs="Times New Roman"/>
          <w:sz w:val="24"/>
          <w:szCs w:val="24"/>
        </w:rPr>
        <w:t xml:space="preserve"> centers its explicit policy toward animals on need. </w:t>
      </w:r>
      <w:r w:rsidRPr="000D21BE">
        <w:rPr>
          <w:rFonts w:ascii="Times New Roman" w:hAnsi="Times New Roman" w:cs="Times New Roman"/>
          <w:sz w:val="24"/>
          <w:szCs w:val="24"/>
        </w:rPr>
        <w:t xml:space="preserve">Apposite for this analysis, the epistemology underlying both discourses makes possible a rough correspondence. For example, Pope Francis’ </w:t>
      </w:r>
      <w:r>
        <w:rPr>
          <w:rFonts w:ascii="Times New Roman" w:hAnsi="Times New Roman" w:cs="Times New Roman"/>
          <w:sz w:val="24"/>
          <w:szCs w:val="24"/>
        </w:rPr>
        <w:t>2015</w:t>
      </w:r>
      <w:r w:rsidRPr="000D21BE">
        <w:rPr>
          <w:rFonts w:ascii="Times New Roman" w:hAnsi="Times New Roman" w:cs="Times New Roman"/>
          <w:sz w:val="24"/>
          <w:szCs w:val="24"/>
        </w:rPr>
        <w:t xml:space="preserve"> encyclical on the environment, </w:t>
      </w:r>
      <w:proofErr w:type="spellStart"/>
      <w:r w:rsidRPr="000D21BE">
        <w:rPr>
          <w:rFonts w:ascii="Times New Roman" w:hAnsi="Times New Roman" w:cs="Times New Roman"/>
          <w:i/>
          <w:sz w:val="24"/>
          <w:szCs w:val="24"/>
        </w:rPr>
        <w:t>Laudato</w:t>
      </w:r>
      <w:proofErr w:type="spellEnd"/>
      <w:r w:rsidRPr="000D21BE">
        <w:rPr>
          <w:rFonts w:ascii="Times New Roman" w:hAnsi="Times New Roman" w:cs="Times New Roman"/>
          <w:i/>
          <w:sz w:val="24"/>
          <w:szCs w:val="24"/>
        </w:rPr>
        <w:t xml:space="preserve"> </w:t>
      </w:r>
      <w:proofErr w:type="spellStart"/>
      <w:r w:rsidRPr="000D21BE">
        <w:rPr>
          <w:rFonts w:ascii="Times New Roman" w:hAnsi="Times New Roman" w:cs="Times New Roman"/>
          <w:i/>
          <w:sz w:val="24"/>
          <w:szCs w:val="24"/>
        </w:rPr>
        <w:t>Sí</w:t>
      </w:r>
      <w:proofErr w:type="spellEnd"/>
      <w:r w:rsidRPr="000D21BE">
        <w:rPr>
          <w:rFonts w:ascii="Times New Roman" w:hAnsi="Times New Roman" w:cs="Times New Roman"/>
          <w:i/>
          <w:sz w:val="24"/>
          <w:szCs w:val="24"/>
        </w:rPr>
        <w:t>: On Care for Our Common Home</w:t>
      </w:r>
      <w:r w:rsidRPr="000D21BE">
        <w:rPr>
          <w:rFonts w:ascii="Times New Roman" w:hAnsi="Times New Roman" w:cs="Times New Roman"/>
          <w:sz w:val="24"/>
          <w:szCs w:val="24"/>
        </w:rPr>
        <w:t xml:space="preserve">, affirms a point of fundamental significance to </w:t>
      </w:r>
      <w:proofErr w:type="spellStart"/>
      <w:r w:rsidRPr="000D21BE">
        <w:rPr>
          <w:rFonts w:ascii="Times New Roman" w:hAnsi="Times New Roman" w:cs="Times New Roman"/>
          <w:sz w:val="24"/>
          <w:szCs w:val="24"/>
        </w:rPr>
        <w:t>Merleau-Ponty</w:t>
      </w:r>
      <w:proofErr w:type="spellEnd"/>
      <w:r>
        <w:rPr>
          <w:rFonts w:ascii="Times New Roman" w:hAnsi="Times New Roman" w:cs="Times New Roman"/>
          <w:sz w:val="24"/>
          <w:szCs w:val="24"/>
        </w:rPr>
        <w:t>:</w:t>
      </w:r>
      <w:r w:rsidRPr="000D21BE">
        <w:rPr>
          <w:rFonts w:ascii="Times New Roman" w:hAnsi="Times New Roman" w:cs="Times New Roman"/>
          <w:sz w:val="24"/>
          <w:szCs w:val="24"/>
        </w:rPr>
        <w:t xml:space="preserve"> “[O]</w:t>
      </w:r>
      <w:proofErr w:type="spellStart"/>
      <w:r w:rsidRPr="000D21BE">
        <w:rPr>
          <w:rFonts w:ascii="Times New Roman" w:hAnsi="Times New Roman" w:cs="Times New Roman"/>
          <w:sz w:val="24"/>
          <w:szCs w:val="24"/>
        </w:rPr>
        <w:t>ur</w:t>
      </w:r>
      <w:proofErr w:type="spellEnd"/>
      <w:r w:rsidRPr="000D21BE">
        <w:rPr>
          <w:rFonts w:ascii="Times New Roman" w:hAnsi="Times New Roman" w:cs="Times New Roman"/>
          <w:sz w:val="24"/>
          <w:szCs w:val="24"/>
        </w:rPr>
        <w:t xml:space="preserve"> body itself establishes us in a direct relationship with the environment and with other living beings</w:t>
      </w:r>
      <w:r w:rsidR="000E68F1">
        <w:rPr>
          <w:rFonts w:ascii="Times New Roman" w:hAnsi="Times New Roman" w:cs="Times New Roman"/>
          <w:sz w:val="24"/>
          <w:szCs w:val="24"/>
        </w:rPr>
        <w:t>.</w:t>
      </w:r>
      <w:r w:rsidRPr="000D21BE">
        <w:rPr>
          <w:rFonts w:ascii="Times New Roman" w:hAnsi="Times New Roman" w:cs="Times New Roman"/>
          <w:sz w:val="24"/>
          <w:szCs w:val="24"/>
        </w:rPr>
        <w:t>”</w:t>
      </w:r>
      <w:r w:rsidR="000E68F1">
        <w:rPr>
          <w:rStyle w:val="FootnoteReference"/>
          <w:rFonts w:ascii="Times New Roman" w:hAnsi="Times New Roman" w:cs="Times New Roman"/>
          <w:sz w:val="24"/>
          <w:szCs w:val="24"/>
        </w:rPr>
        <w:footnoteReference w:id="2"/>
      </w:r>
      <w:r w:rsidRPr="000D21BE">
        <w:rPr>
          <w:rFonts w:ascii="Times New Roman" w:hAnsi="Times New Roman" w:cs="Times New Roman"/>
          <w:sz w:val="24"/>
          <w:szCs w:val="24"/>
        </w:rPr>
        <w:t xml:space="preserve"> Francis also asserts this key entailment: “[T]he life of the spirit is not dissociated from the body or from nature or from worldly realities, but lived in and with </w:t>
      </w:r>
      <w:r w:rsidRPr="000D21BE">
        <w:rPr>
          <w:rFonts w:ascii="Times New Roman" w:hAnsi="Times New Roman" w:cs="Times New Roman"/>
          <w:sz w:val="24"/>
          <w:szCs w:val="24"/>
        </w:rPr>
        <w:lastRenderedPageBreak/>
        <w:t xml:space="preserve">them, </w:t>
      </w:r>
      <w:r w:rsidRPr="009E5315">
        <w:rPr>
          <w:rFonts w:ascii="Times New Roman" w:hAnsi="Times New Roman" w:cs="Times New Roman"/>
          <w:sz w:val="24"/>
          <w:szCs w:val="24"/>
        </w:rPr>
        <w:t>in communion with all that surrounds us</w:t>
      </w:r>
      <w:r w:rsidR="009E5315">
        <w:rPr>
          <w:rFonts w:ascii="Times New Roman" w:hAnsi="Times New Roman" w:cs="Times New Roman"/>
          <w:sz w:val="24"/>
          <w:szCs w:val="24"/>
        </w:rPr>
        <w:t>.</w:t>
      </w:r>
      <w:r w:rsidRPr="009E5315">
        <w:rPr>
          <w:rFonts w:ascii="Times New Roman" w:hAnsi="Times New Roman" w:cs="Times New Roman"/>
          <w:sz w:val="24"/>
          <w:szCs w:val="24"/>
        </w:rPr>
        <w:t>”</w:t>
      </w:r>
      <w:r w:rsidR="009E5315">
        <w:rPr>
          <w:rStyle w:val="FootnoteReference"/>
          <w:rFonts w:ascii="Times New Roman" w:hAnsi="Times New Roman" w:cs="Times New Roman"/>
          <w:sz w:val="24"/>
          <w:szCs w:val="24"/>
        </w:rPr>
        <w:footnoteReference w:id="3"/>
      </w:r>
      <w:r w:rsidRPr="009E5315">
        <w:rPr>
          <w:rFonts w:ascii="Times New Roman" w:hAnsi="Times New Roman" w:cs="Times New Roman"/>
          <w:sz w:val="24"/>
          <w:szCs w:val="24"/>
        </w:rPr>
        <w:t xml:space="preserve"> Indeed, he calls us to move beyond intellectual and economic ways of approaching creation so as to use categories which “take us to the heart of what it is to be human</w:t>
      </w:r>
      <w:r w:rsidR="009E5315">
        <w:rPr>
          <w:rFonts w:ascii="Times New Roman" w:hAnsi="Times New Roman" w:cs="Times New Roman"/>
          <w:sz w:val="24"/>
          <w:szCs w:val="24"/>
        </w:rPr>
        <w:t>.</w:t>
      </w:r>
      <w:r w:rsidRPr="009E5315">
        <w:rPr>
          <w:rFonts w:ascii="Times New Roman" w:hAnsi="Times New Roman" w:cs="Times New Roman"/>
          <w:sz w:val="24"/>
          <w:szCs w:val="24"/>
        </w:rPr>
        <w:t>”</w:t>
      </w:r>
      <w:r w:rsidR="009E5315">
        <w:rPr>
          <w:rStyle w:val="FootnoteReference"/>
          <w:rFonts w:ascii="Times New Roman" w:hAnsi="Times New Roman" w:cs="Times New Roman"/>
          <w:sz w:val="24"/>
          <w:szCs w:val="24"/>
        </w:rPr>
        <w:footnoteReference w:id="4"/>
      </w:r>
      <w:r w:rsidR="009E5315">
        <w:rPr>
          <w:rFonts w:ascii="Times New Roman" w:hAnsi="Times New Roman" w:cs="Times New Roman"/>
          <w:sz w:val="24"/>
          <w:szCs w:val="24"/>
        </w:rPr>
        <w:t xml:space="preserve"> </w:t>
      </w:r>
      <w:r w:rsidRPr="000D21BE">
        <w:rPr>
          <w:rFonts w:ascii="Times New Roman" w:hAnsi="Times New Roman" w:cs="Times New Roman"/>
          <w:sz w:val="24"/>
          <w:szCs w:val="24"/>
        </w:rPr>
        <w:t xml:space="preserve">Here, I put these two discourses in conversation, arguing that </w:t>
      </w:r>
      <w:r w:rsidRPr="009E5315">
        <w:rPr>
          <w:rFonts w:ascii="Times New Roman" w:hAnsi="Times New Roman" w:cs="Times New Roman"/>
          <w:sz w:val="24"/>
          <w:szCs w:val="24"/>
        </w:rPr>
        <w:t>Catholic teaching, as oriented toward a cross-species “communion,” should go beyond its concern with need to incorporate an acknowledgment of animal agency, as the latter holds greater transformative power in regard to that aim. I</w:t>
      </w:r>
      <w:r w:rsidRPr="000D21BE">
        <w:rPr>
          <w:rFonts w:ascii="Times New Roman" w:hAnsi="Times New Roman" w:cs="Times New Roman"/>
          <w:sz w:val="24"/>
          <w:szCs w:val="24"/>
        </w:rPr>
        <w:t xml:space="preserve"> advance this argument in three steps. First, I review key points in </w:t>
      </w:r>
      <w:proofErr w:type="spellStart"/>
      <w:r w:rsidRPr="000D21BE">
        <w:rPr>
          <w:rFonts w:ascii="Times New Roman" w:hAnsi="Times New Roman" w:cs="Times New Roman"/>
          <w:i/>
          <w:sz w:val="24"/>
          <w:szCs w:val="24"/>
        </w:rPr>
        <w:t>Laudato</w:t>
      </w:r>
      <w:proofErr w:type="spellEnd"/>
      <w:r w:rsidRPr="000D21BE">
        <w:rPr>
          <w:rFonts w:ascii="Times New Roman" w:hAnsi="Times New Roman" w:cs="Times New Roman"/>
          <w:i/>
          <w:sz w:val="24"/>
          <w:szCs w:val="24"/>
        </w:rPr>
        <w:t xml:space="preserve"> </w:t>
      </w:r>
      <w:proofErr w:type="spellStart"/>
      <w:r w:rsidRPr="000D21BE">
        <w:rPr>
          <w:rFonts w:ascii="Times New Roman" w:hAnsi="Times New Roman" w:cs="Times New Roman"/>
          <w:i/>
          <w:sz w:val="24"/>
          <w:szCs w:val="24"/>
        </w:rPr>
        <w:t>Sí</w:t>
      </w:r>
      <w:proofErr w:type="spellEnd"/>
      <w:r w:rsidRPr="000D21BE">
        <w:rPr>
          <w:rFonts w:ascii="Times New Roman" w:hAnsi="Times New Roman" w:cs="Times New Roman"/>
          <w:sz w:val="24"/>
          <w:szCs w:val="24"/>
        </w:rPr>
        <w:t xml:space="preserve"> on the human relation to nonhuman being, and highlight </w:t>
      </w:r>
      <w:r>
        <w:rPr>
          <w:rFonts w:ascii="Times New Roman" w:hAnsi="Times New Roman" w:cs="Times New Roman"/>
          <w:sz w:val="24"/>
          <w:szCs w:val="24"/>
        </w:rPr>
        <w:t>Catholic teaching’s</w:t>
      </w:r>
      <w:r w:rsidRPr="000D21BE">
        <w:rPr>
          <w:rFonts w:ascii="Times New Roman" w:hAnsi="Times New Roman" w:cs="Times New Roman"/>
          <w:sz w:val="24"/>
          <w:szCs w:val="24"/>
        </w:rPr>
        <w:t xml:space="preserve"> focus on need. Second, I </w:t>
      </w:r>
      <w:r>
        <w:rPr>
          <w:rFonts w:ascii="Times New Roman" w:hAnsi="Times New Roman" w:cs="Times New Roman"/>
          <w:sz w:val="24"/>
          <w:szCs w:val="24"/>
        </w:rPr>
        <w:t>describe how</w:t>
      </w:r>
      <w:r w:rsidRPr="000D21BE">
        <w:rPr>
          <w:rFonts w:ascii="Times New Roman" w:hAnsi="Times New Roman" w:cs="Times New Roman"/>
          <w:sz w:val="24"/>
          <w:szCs w:val="24"/>
        </w:rPr>
        <w:t xml:space="preserve"> Maurice </w:t>
      </w:r>
      <w:proofErr w:type="spellStart"/>
      <w:r w:rsidRPr="000D21BE">
        <w:rPr>
          <w:rFonts w:ascii="Times New Roman" w:hAnsi="Times New Roman" w:cs="Times New Roman"/>
          <w:sz w:val="24"/>
          <w:szCs w:val="24"/>
        </w:rPr>
        <w:t>Merleau-Ponty’s</w:t>
      </w:r>
      <w:proofErr w:type="spellEnd"/>
      <w:r w:rsidRPr="000D21BE">
        <w:rPr>
          <w:rFonts w:ascii="Times New Roman" w:hAnsi="Times New Roman" w:cs="Times New Roman"/>
          <w:sz w:val="24"/>
          <w:szCs w:val="24"/>
        </w:rPr>
        <w:t xml:space="preserve"> </w:t>
      </w:r>
      <w:r>
        <w:rPr>
          <w:rFonts w:ascii="Times New Roman" w:hAnsi="Times New Roman" w:cs="Times New Roman"/>
          <w:sz w:val="24"/>
          <w:szCs w:val="24"/>
        </w:rPr>
        <w:t>notion of an</w:t>
      </w:r>
      <w:r w:rsidRPr="000D21BE">
        <w:rPr>
          <w:rFonts w:ascii="Times New Roman" w:hAnsi="Times New Roman" w:cs="Times New Roman"/>
          <w:sz w:val="24"/>
          <w:szCs w:val="24"/>
        </w:rPr>
        <w:t xml:space="preserve"> imp</w:t>
      </w:r>
      <w:r>
        <w:rPr>
          <w:rFonts w:ascii="Times New Roman" w:hAnsi="Times New Roman" w:cs="Times New Roman"/>
          <w:sz w:val="24"/>
          <w:szCs w:val="24"/>
        </w:rPr>
        <w:t>ulse to exist “with” some other grounds the sense of a shared “</w:t>
      </w:r>
      <w:proofErr w:type="spellStart"/>
      <w:r>
        <w:rPr>
          <w:rFonts w:ascii="Times New Roman" w:hAnsi="Times New Roman" w:cs="Times New Roman"/>
          <w:sz w:val="24"/>
          <w:szCs w:val="24"/>
        </w:rPr>
        <w:t>interworld</w:t>
      </w:r>
      <w:proofErr w:type="spellEnd"/>
      <w:r>
        <w:rPr>
          <w:rFonts w:ascii="Times New Roman" w:hAnsi="Times New Roman" w:cs="Times New Roman"/>
          <w:sz w:val="24"/>
          <w:szCs w:val="24"/>
        </w:rPr>
        <w:t xml:space="preserve">,” </w:t>
      </w:r>
      <w:r w:rsidRPr="000D21BE">
        <w:rPr>
          <w:rFonts w:ascii="Times New Roman" w:hAnsi="Times New Roman" w:cs="Times New Roman"/>
          <w:sz w:val="24"/>
          <w:szCs w:val="24"/>
        </w:rPr>
        <w:t xml:space="preserve">and </w:t>
      </w:r>
      <w:r>
        <w:rPr>
          <w:rFonts w:ascii="Times New Roman" w:hAnsi="Times New Roman" w:cs="Times New Roman"/>
          <w:sz w:val="24"/>
          <w:szCs w:val="24"/>
        </w:rPr>
        <w:t>explain</w:t>
      </w:r>
      <w:r w:rsidRPr="000D21BE">
        <w:rPr>
          <w:rFonts w:ascii="Times New Roman" w:hAnsi="Times New Roman" w:cs="Times New Roman"/>
          <w:sz w:val="24"/>
          <w:szCs w:val="24"/>
        </w:rPr>
        <w:t xml:space="preserve"> how Kenneth J. Shapiro applies </w:t>
      </w:r>
      <w:r>
        <w:rPr>
          <w:rFonts w:ascii="Times New Roman" w:hAnsi="Times New Roman" w:cs="Times New Roman"/>
          <w:sz w:val="24"/>
          <w:szCs w:val="24"/>
        </w:rPr>
        <w:t>that conception</w:t>
      </w:r>
      <w:r w:rsidRPr="000D21BE">
        <w:rPr>
          <w:rFonts w:ascii="Times New Roman" w:hAnsi="Times New Roman" w:cs="Times New Roman"/>
          <w:sz w:val="24"/>
          <w:szCs w:val="24"/>
        </w:rPr>
        <w:t xml:space="preserve"> to the human-animal relation. </w:t>
      </w:r>
      <w:r>
        <w:rPr>
          <w:rFonts w:ascii="Times New Roman" w:hAnsi="Times New Roman" w:cs="Times New Roman"/>
          <w:sz w:val="24"/>
          <w:szCs w:val="24"/>
        </w:rPr>
        <w:t>Finally</w:t>
      </w:r>
      <w:r w:rsidRPr="000D21BE">
        <w:rPr>
          <w:rFonts w:ascii="Times New Roman" w:hAnsi="Times New Roman" w:cs="Times New Roman"/>
          <w:sz w:val="24"/>
          <w:szCs w:val="24"/>
        </w:rPr>
        <w:t xml:space="preserve">, I reference </w:t>
      </w:r>
      <w:r>
        <w:rPr>
          <w:rFonts w:ascii="Times New Roman" w:hAnsi="Times New Roman" w:cs="Times New Roman"/>
          <w:sz w:val="24"/>
          <w:szCs w:val="24"/>
        </w:rPr>
        <w:t>a number of social theorists</w:t>
      </w:r>
      <w:r w:rsidRPr="000D21BE">
        <w:rPr>
          <w:rFonts w:ascii="Times New Roman" w:hAnsi="Times New Roman" w:cs="Times New Roman"/>
          <w:sz w:val="24"/>
          <w:szCs w:val="24"/>
        </w:rPr>
        <w:t xml:space="preserve"> to draw out the ethical significance of a </w:t>
      </w:r>
      <w:proofErr w:type="spellStart"/>
      <w:r w:rsidRPr="000D21BE">
        <w:rPr>
          <w:rFonts w:ascii="Times New Roman" w:hAnsi="Times New Roman" w:cs="Times New Roman"/>
          <w:sz w:val="24"/>
          <w:szCs w:val="24"/>
        </w:rPr>
        <w:t>Merleau-Pontyan</w:t>
      </w:r>
      <w:proofErr w:type="spellEnd"/>
      <w:r w:rsidRPr="000D21BE">
        <w:rPr>
          <w:rFonts w:ascii="Times New Roman" w:hAnsi="Times New Roman" w:cs="Times New Roman"/>
          <w:sz w:val="24"/>
          <w:szCs w:val="24"/>
        </w:rPr>
        <w:t xml:space="preserve"> animal agency. </w:t>
      </w:r>
    </w:p>
    <w:p w:rsidR="005F3328" w:rsidRDefault="005F3328" w:rsidP="005F3328">
      <w:pPr>
        <w:spacing w:after="0" w:line="240" w:lineRule="auto"/>
        <w:rPr>
          <w:rFonts w:ascii="Times New Roman" w:hAnsi="Times New Roman" w:cs="Times New Roman"/>
          <w:b/>
          <w:sz w:val="24"/>
          <w:szCs w:val="24"/>
        </w:rPr>
      </w:pPr>
    </w:p>
    <w:p w:rsidR="002F17DE" w:rsidRDefault="002F17DE" w:rsidP="005F3328">
      <w:pPr>
        <w:spacing w:after="0" w:line="240" w:lineRule="auto"/>
        <w:rPr>
          <w:rFonts w:ascii="Times New Roman" w:hAnsi="Times New Roman" w:cs="Times New Roman"/>
          <w:b/>
          <w:sz w:val="24"/>
          <w:szCs w:val="24"/>
        </w:rPr>
      </w:pPr>
      <w:r w:rsidRPr="00DB4D7D">
        <w:rPr>
          <w:rFonts w:ascii="Times New Roman" w:hAnsi="Times New Roman" w:cs="Times New Roman"/>
          <w:b/>
          <w:sz w:val="24"/>
          <w:szCs w:val="24"/>
        </w:rPr>
        <w:t xml:space="preserve">Catholic </w:t>
      </w:r>
      <w:r w:rsidR="005A3AD2">
        <w:rPr>
          <w:rFonts w:ascii="Times New Roman" w:hAnsi="Times New Roman" w:cs="Times New Roman"/>
          <w:b/>
          <w:sz w:val="24"/>
          <w:szCs w:val="24"/>
        </w:rPr>
        <w:t>S</w:t>
      </w:r>
      <w:r w:rsidRPr="00DB4D7D">
        <w:rPr>
          <w:rFonts w:ascii="Times New Roman" w:hAnsi="Times New Roman" w:cs="Times New Roman"/>
          <w:b/>
          <w:sz w:val="24"/>
          <w:szCs w:val="24"/>
        </w:rPr>
        <w:t xml:space="preserve">ocial </w:t>
      </w:r>
      <w:r w:rsidR="005A3AD2">
        <w:rPr>
          <w:rFonts w:ascii="Times New Roman" w:hAnsi="Times New Roman" w:cs="Times New Roman"/>
          <w:b/>
          <w:sz w:val="24"/>
          <w:szCs w:val="24"/>
        </w:rPr>
        <w:t>T</w:t>
      </w:r>
      <w:r w:rsidRPr="00DB4D7D">
        <w:rPr>
          <w:rFonts w:ascii="Times New Roman" w:hAnsi="Times New Roman" w:cs="Times New Roman"/>
          <w:b/>
          <w:sz w:val="24"/>
          <w:szCs w:val="24"/>
        </w:rPr>
        <w:t xml:space="preserve">eaching </w:t>
      </w:r>
      <w:r w:rsidR="005A3AD2">
        <w:rPr>
          <w:rFonts w:ascii="Times New Roman" w:hAnsi="Times New Roman" w:cs="Times New Roman"/>
          <w:b/>
          <w:sz w:val="24"/>
          <w:szCs w:val="24"/>
        </w:rPr>
        <w:t>C</w:t>
      </w:r>
      <w:r>
        <w:rPr>
          <w:rFonts w:ascii="Times New Roman" w:hAnsi="Times New Roman" w:cs="Times New Roman"/>
          <w:b/>
          <w:sz w:val="24"/>
          <w:szCs w:val="24"/>
        </w:rPr>
        <w:t xml:space="preserve">ounsels </w:t>
      </w:r>
      <w:proofErr w:type="spellStart"/>
      <w:r w:rsidR="005A3AD2">
        <w:rPr>
          <w:rFonts w:ascii="Times New Roman" w:hAnsi="Times New Roman" w:cs="Times New Roman"/>
          <w:b/>
          <w:sz w:val="24"/>
          <w:szCs w:val="24"/>
        </w:rPr>
        <w:t>N</w:t>
      </w:r>
      <w:r>
        <w:rPr>
          <w:rFonts w:ascii="Times New Roman" w:hAnsi="Times New Roman" w:cs="Times New Roman"/>
          <w:b/>
          <w:sz w:val="24"/>
          <w:szCs w:val="24"/>
        </w:rPr>
        <w:t>onmaleficence</w:t>
      </w:r>
      <w:proofErr w:type="spellEnd"/>
      <w:r>
        <w:rPr>
          <w:rFonts w:ascii="Times New Roman" w:hAnsi="Times New Roman" w:cs="Times New Roman"/>
          <w:b/>
          <w:sz w:val="24"/>
          <w:szCs w:val="24"/>
        </w:rPr>
        <w:t xml:space="preserve"> in </w:t>
      </w:r>
      <w:r w:rsidR="005A3AD2">
        <w:rPr>
          <w:rFonts w:ascii="Times New Roman" w:hAnsi="Times New Roman" w:cs="Times New Roman"/>
          <w:b/>
          <w:sz w:val="24"/>
          <w:szCs w:val="24"/>
        </w:rPr>
        <w:t>R</w:t>
      </w:r>
      <w:r>
        <w:rPr>
          <w:rFonts w:ascii="Times New Roman" w:hAnsi="Times New Roman" w:cs="Times New Roman"/>
          <w:b/>
          <w:sz w:val="24"/>
          <w:szCs w:val="24"/>
        </w:rPr>
        <w:t>egard to t</w:t>
      </w:r>
      <w:r w:rsidRPr="00DB4D7D">
        <w:rPr>
          <w:rFonts w:ascii="Times New Roman" w:hAnsi="Times New Roman" w:cs="Times New Roman"/>
          <w:b/>
          <w:sz w:val="24"/>
          <w:szCs w:val="24"/>
        </w:rPr>
        <w:t xml:space="preserve">he </w:t>
      </w:r>
      <w:r w:rsidR="005A3AD2">
        <w:rPr>
          <w:rFonts w:ascii="Times New Roman" w:hAnsi="Times New Roman" w:cs="Times New Roman"/>
          <w:b/>
          <w:sz w:val="24"/>
          <w:szCs w:val="24"/>
        </w:rPr>
        <w:t>I</w:t>
      </w:r>
      <w:r w:rsidRPr="00DB4D7D">
        <w:rPr>
          <w:rFonts w:ascii="Times New Roman" w:hAnsi="Times New Roman" w:cs="Times New Roman"/>
          <w:b/>
          <w:sz w:val="24"/>
          <w:szCs w:val="24"/>
        </w:rPr>
        <w:t xml:space="preserve">ndividual </w:t>
      </w:r>
      <w:r w:rsidR="005A3AD2">
        <w:rPr>
          <w:rFonts w:ascii="Times New Roman" w:hAnsi="Times New Roman" w:cs="Times New Roman"/>
          <w:b/>
          <w:sz w:val="24"/>
          <w:szCs w:val="24"/>
        </w:rPr>
        <w:t>O</w:t>
      </w:r>
      <w:r w:rsidRPr="00DB4D7D">
        <w:rPr>
          <w:rFonts w:ascii="Times New Roman" w:hAnsi="Times New Roman" w:cs="Times New Roman"/>
          <w:b/>
          <w:sz w:val="24"/>
          <w:szCs w:val="24"/>
        </w:rPr>
        <w:t>rganism</w:t>
      </w:r>
    </w:p>
    <w:p w:rsidR="005F3328" w:rsidRDefault="005F3328" w:rsidP="005F3328">
      <w:pPr>
        <w:spacing w:after="0" w:line="240" w:lineRule="auto"/>
        <w:rPr>
          <w:rFonts w:ascii="Times New Roman" w:hAnsi="Times New Roman" w:cs="Times New Roman"/>
          <w:b/>
          <w:sz w:val="24"/>
          <w:szCs w:val="24"/>
        </w:rPr>
      </w:pPr>
    </w:p>
    <w:p w:rsidR="002F17DE" w:rsidRPr="008A2108" w:rsidRDefault="002F17DE" w:rsidP="005F3328">
      <w:pPr>
        <w:spacing w:after="0" w:line="480" w:lineRule="auto"/>
        <w:ind w:firstLine="720"/>
        <w:rPr>
          <w:rFonts w:ascii="Times New Roman" w:hAnsi="Times New Roman" w:cs="Times New Roman"/>
          <w:sz w:val="24"/>
          <w:szCs w:val="24"/>
        </w:rPr>
      </w:pPr>
      <w:proofErr w:type="spellStart"/>
      <w:r w:rsidRPr="008A2108">
        <w:rPr>
          <w:rFonts w:ascii="Times New Roman" w:hAnsi="Times New Roman" w:cs="Times New Roman"/>
          <w:i/>
          <w:sz w:val="24"/>
          <w:szCs w:val="24"/>
        </w:rPr>
        <w:t>Laudato</w:t>
      </w:r>
      <w:proofErr w:type="spellEnd"/>
      <w:r w:rsidRPr="008A2108">
        <w:rPr>
          <w:rFonts w:ascii="Times New Roman" w:hAnsi="Times New Roman" w:cs="Times New Roman"/>
          <w:i/>
          <w:sz w:val="24"/>
          <w:szCs w:val="24"/>
        </w:rPr>
        <w:t xml:space="preserve"> </w:t>
      </w:r>
      <w:proofErr w:type="spellStart"/>
      <w:r w:rsidRPr="008A2108">
        <w:rPr>
          <w:rFonts w:ascii="Times New Roman" w:hAnsi="Times New Roman" w:cs="Times New Roman"/>
          <w:i/>
          <w:sz w:val="24"/>
          <w:szCs w:val="24"/>
        </w:rPr>
        <w:t>Sí</w:t>
      </w:r>
      <w:proofErr w:type="spellEnd"/>
      <w:r w:rsidRPr="008A2108">
        <w:rPr>
          <w:rFonts w:ascii="Times New Roman" w:hAnsi="Times New Roman" w:cs="Times New Roman"/>
          <w:sz w:val="24"/>
          <w:szCs w:val="24"/>
        </w:rPr>
        <w:t xml:space="preserve"> locates our relation to the more-than-human world within the expansive duality of a good creation and similarly good—in the sense of maximally transcendent, relational and loving—Creator. God’s transcendence is imagined as an infinite fullness, and contrary to the classical view, nonhuman beings exist not primarily for human benefit, but to serve God’s broader purposes</w:t>
      </w:r>
      <w:r w:rsidR="009E5315" w:rsidRPr="008A2108">
        <w:rPr>
          <w:rFonts w:ascii="Times New Roman" w:hAnsi="Times New Roman" w:cs="Times New Roman"/>
          <w:sz w:val="24"/>
          <w:szCs w:val="24"/>
        </w:rPr>
        <w:t>.</w:t>
      </w:r>
      <w:r w:rsidR="009E5315" w:rsidRPr="008A2108">
        <w:rPr>
          <w:rStyle w:val="FootnoteReference"/>
          <w:rFonts w:ascii="Times New Roman" w:hAnsi="Times New Roman" w:cs="Times New Roman"/>
          <w:sz w:val="24"/>
          <w:szCs w:val="24"/>
        </w:rPr>
        <w:footnoteReference w:id="5"/>
      </w:r>
      <w:r w:rsidRPr="008A2108">
        <w:rPr>
          <w:rFonts w:ascii="Times New Roman" w:hAnsi="Times New Roman" w:cs="Times New Roman"/>
          <w:sz w:val="24"/>
          <w:szCs w:val="24"/>
        </w:rPr>
        <w:t xml:space="preserve"> </w:t>
      </w:r>
      <w:proofErr w:type="spellStart"/>
      <w:r w:rsidRPr="008A2108">
        <w:rPr>
          <w:rFonts w:ascii="Times New Roman" w:hAnsi="Times New Roman" w:cs="Times New Roman"/>
          <w:i/>
          <w:sz w:val="24"/>
          <w:szCs w:val="24"/>
        </w:rPr>
        <w:t>Laudato</w:t>
      </w:r>
      <w:proofErr w:type="spellEnd"/>
      <w:r w:rsidRPr="008A2108">
        <w:rPr>
          <w:rFonts w:ascii="Times New Roman" w:hAnsi="Times New Roman" w:cs="Times New Roman"/>
          <w:i/>
          <w:sz w:val="24"/>
          <w:szCs w:val="24"/>
        </w:rPr>
        <w:t xml:space="preserve"> </w:t>
      </w:r>
      <w:proofErr w:type="spellStart"/>
      <w:r w:rsidRPr="008A2108">
        <w:rPr>
          <w:rFonts w:ascii="Times New Roman" w:hAnsi="Times New Roman" w:cs="Times New Roman"/>
          <w:i/>
          <w:sz w:val="24"/>
          <w:szCs w:val="24"/>
        </w:rPr>
        <w:t>Sí</w:t>
      </w:r>
      <w:proofErr w:type="spellEnd"/>
      <w:r w:rsidRPr="008A2108">
        <w:rPr>
          <w:rFonts w:ascii="Times New Roman" w:hAnsi="Times New Roman" w:cs="Times New Roman"/>
          <w:sz w:val="24"/>
          <w:szCs w:val="24"/>
        </w:rPr>
        <w:t xml:space="preserve"> also describes a Creator who, as Trinity, is profoundly relational in substance and function</w:t>
      </w:r>
      <w:r w:rsidR="009E5315" w:rsidRPr="008A2108">
        <w:rPr>
          <w:rFonts w:ascii="Times New Roman" w:hAnsi="Times New Roman" w:cs="Times New Roman"/>
          <w:sz w:val="24"/>
          <w:szCs w:val="24"/>
        </w:rPr>
        <w:t>.</w:t>
      </w:r>
      <w:r w:rsidR="009E5315" w:rsidRPr="008A2108">
        <w:rPr>
          <w:rStyle w:val="FootnoteReference"/>
          <w:rFonts w:ascii="Times New Roman" w:hAnsi="Times New Roman" w:cs="Times New Roman"/>
          <w:sz w:val="24"/>
          <w:szCs w:val="24"/>
        </w:rPr>
        <w:footnoteReference w:id="6"/>
      </w:r>
      <w:r w:rsidRPr="008A2108">
        <w:rPr>
          <w:rFonts w:ascii="Times New Roman" w:hAnsi="Times New Roman" w:cs="Times New Roman"/>
          <w:sz w:val="24"/>
          <w:szCs w:val="24"/>
        </w:rPr>
        <w:t xml:space="preserve"> It understands Christ as universal Lord, and Jesus as demonstrating intimacy and harmony with nature</w:t>
      </w:r>
      <w:r w:rsidR="006B4067" w:rsidRPr="008A2108">
        <w:rPr>
          <w:rFonts w:ascii="Times New Roman" w:hAnsi="Times New Roman" w:cs="Times New Roman"/>
          <w:sz w:val="24"/>
          <w:szCs w:val="24"/>
        </w:rPr>
        <w:t>.</w:t>
      </w:r>
      <w:r w:rsidR="006B4067" w:rsidRPr="008A2108">
        <w:rPr>
          <w:rStyle w:val="FootnoteReference"/>
          <w:rFonts w:ascii="Times New Roman" w:hAnsi="Times New Roman" w:cs="Times New Roman"/>
          <w:sz w:val="24"/>
          <w:szCs w:val="24"/>
        </w:rPr>
        <w:footnoteReference w:id="7"/>
      </w:r>
      <w:r w:rsidRPr="008A2108">
        <w:rPr>
          <w:rFonts w:ascii="Times New Roman" w:hAnsi="Times New Roman" w:cs="Times New Roman"/>
          <w:sz w:val="24"/>
          <w:szCs w:val="24"/>
        </w:rPr>
        <w:t xml:space="preserve"> In particular, it elevates divine immanence, holding God’s love to be “the fundamental moving force in all created things” that enables creatures to exist </w:t>
      </w:r>
      <w:r w:rsidRPr="008A2108">
        <w:rPr>
          <w:rFonts w:ascii="Times New Roman" w:hAnsi="Times New Roman" w:cs="Times New Roman"/>
          <w:sz w:val="24"/>
          <w:szCs w:val="24"/>
        </w:rPr>
        <w:lastRenderedPageBreak/>
        <w:t>“with” their Creator</w:t>
      </w:r>
      <w:r w:rsidR="006B4067" w:rsidRPr="008A2108">
        <w:rPr>
          <w:rFonts w:ascii="Times New Roman" w:hAnsi="Times New Roman" w:cs="Times New Roman"/>
          <w:sz w:val="24"/>
          <w:szCs w:val="24"/>
        </w:rPr>
        <w:t>.</w:t>
      </w:r>
      <w:r w:rsidR="006B4067" w:rsidRPr="008A2108">
        <w:rPr>
          <w:rStyle w:val="FootnoteReference"/>
          <w:rFonts w:ascii="Times New Roman" w:hAnsi="Times New Roman" w:cs="Times New Roman"/>
          <w:sz w:val="24"/>
          <w:szCs w:val="24"/>
        </w:rPr>
        <w:footnoteReference w:id="8"/>
      </w:r>
      <w:r w:rsidRPr="008A2108">
        <w:rPr>
          <w:rFonts w:ascii="Times New Roman" w:hAnsi="Times New Roman" w:cs="Times New Roman"/>
          <w:sz w:val="24"/>
          <w:szCs w:val="24"/>
        </w:rPr>
        <w:t xml:space="preserve"> No one is excepted: “Even the fleeting life of the least of beings is the object of his love, and in its few seconds of existence, God enfolds it with his affection</w:t>
      </w:r>
      <w:r w:rsidR="006B4067" w:rsidRPr="008A2108">
        <w:rPr>
          <w:rFonts w:ascii="Times New Roman" w:hAnsi="Times New Roman" w:cs="Times New Roman"/>
          <w:sz w:val="24"/>
          <w:szCs w:val="24"/>
        </w:rPr>
        <w:t>.</w:t>
      </w:r>
      <w:r w:rsidRPr="008A2108">
        <w:rPr>
          <w:rFonts w:ascii="Times New Roman" w:hAnsi="Times New Roman" w:cs="Times New Roman"/>
          <w:sz w:val="24"/>
          <w:szCs w:val="24"/>
        </w:rPr>
        <w:t>”</w:t>
      </w:r>
      <w:r w:rsidR="006B4067" w:rsidRPr="008A2108">
        <w:rPr>
          <w:rStyle w:val="FootnoteReference"/>
          <w:rFonts w:ascii="Times New Roman" w:hAnsi="Times New Roman" w:cs="Times New Roman"/>
          <w:sz w:val="24"/>
          <w:szCs w:val="24"/>
        </w:rPr>
        <w:footnoteReference w:id="9"/>
      </w:r>
      <w:r w:rsidRPr="008A2108">
        <w:rPr>
          <w:rFonts w:ascii="Times New Roman" w:hAnsi="Times New Roman" w:cs="Times New Roman"/>
          <w:sz w:val="24"/>
          <w:szCs w:val="24"/>
        </w:rPr>
        <w:t xml:space="preserve">   </w:t>
      </w:r>
    </w:p>
    <w:p w:rsidR="002F17DE" w:rsidRPr="008A2108" w:rsidRDefault="002F17DE" w:rsidP="002413B5">
      <w:pPr>
        <w:spacing w:after="0" w:line="480" w:lineRule="auto"/>
        <w:ind w:firstLine="720"/>
        <w:rPr>
          <w:rFonts w:ascii="Times New Roman" w:hAnsi="Times New Roman" w:cs="Times New Roman"/>
          <w:sz w:val="24"/>
          <w:szCs w:val="24"/>
        </w:rPr>
      </w:pPr>
      <w:r w:rsidRPr="008A2108">
        <w:rPr>
          <w:rFonts w:ascii="Times New Roman" w:hAnsi="Times New Roman" w:cs="Times New Roman"/>
          <w:sz w:val="24"/>
          <w:szCs w:val="24"/>
        </w:rPr>
        <w:t>Creation is described</w:t>
      </w:r>
      <w:r w:rsidRPr="008A2108">
        <w:rPr>
          <w:rFonts w:ascii="Times New Roman" w:hAnsi="Times New Roman" w:cs="Times New Roman"/>
          <w:i/>
          <w:sz w:val="24"/>
          <w:szCs w:val="24"/>
        </w:rPr>
        <w:t xml:space="preserve"> </w:t>
      </w:r>
      <w:r w:rsidRPr="008A2108">
        <w:rPr>
          <w:rFonts w:ascii="Times New Roman" w:hAnsi="Times New Roman" w:cs="Times New Roman"/>
          <w:sz w:val="24"/>
          <w:szCs w:val="24"/>
        </w:rPr>
        <w:t>in similar terms. Its “irreplaceable and irretrievable”</w:t>
      </w:r>
      <w:r w:rsidR="006B5E7B">
        <w:rPr>
          <w:rFonts w:ascii="Times New Roman" w:hAnsi="Times New Roman" w:cs="Times New Roman"/>
          <w:sz w:val="24"/>
          <w:szCs w:val="24"/>
        </w:rPr>
        <w:t xml:space="preserve"> beauty</w:t>
      </w:r>
      <w:r w:rsidRPr="008A2108">
        <w:rPr>
          <w:rFonts w:ascii="Times New Roman" w:hAnsi="Times New Roman" w:cs="Times New Roman"/>
          <w:sz w:val="24"/>
          <w:szCs w:val="24"/>
        </w:rPr>
        <w:t xml:space="preserve"> transcends the human sphere</w:t>
      </w:r>
      <w:r w:rsidR="006B4067" w:rsidRPr="008A2108">
        <w:rPr>
          <w:rFonts w:ascii="Times New Roman" w:hAnsi="Times New Roman" w:cs="Times New Roman"/>
          <w:sz w:val="24"/>
          <w:szCs w:val="24"/>
        </w:rPr>
        <w:t>.</w:t>
      </w:r>
      <w:r w:rsidR="006B4067" w:rsidRPr="008A2108">
        <w:rPr>
          <w:rStyle w:val="FootnoteReference"/>
          <w:rFonts w:ascii="Times New Roman" w:hAnsi="Times New Roman" w:cs="Times New Roman"/>
          <w:sz w:val="24"/>
          <w:szCs w:val="24"/>
        </w:rPr>
        <w:footnoteReference w:id="10"/>
      </w:r>
      <w:r w:rsidRPr="008A2108">
        <w:rPr>
          <w:rFonts w:ascii="Times New Roman" w:hAnsi="Times New Roman" w:cs="Times New Roman"/>
          <w:sz w:val="24"/>
          <w:szCs w:val="24"/>
        </w:rPr>
        <w:t xml:space="preserve"> Indeed, the world is beyond our ability to explore or understand, given the intricacy of its relational web</w:t>
      </w:r>
      <w:r w:rsidR="006B4067" w:rsidRPr="008A2108">
        <w:rPr>
          <w:rFonts w:ascii="Times New Roman" w:hAnsi="Times New Roman" w:cs="Times New Roman"/>
          <w:sz w:val="24"/>
          <w:szCs w:val="24"/>
        </w:rPr>
        <w:t>.</w:t>
      </w:r>
      <w:r w:rsidR="006B4067" w:rsidRPr="008A2108">
        <w:rPr>
          <w:rStyle w:val="FootnoteReference"/>
          <w:rFonts w:ascii="Times New Roman" w:hAnsi="Times New Roman" w:cs="Times New Roman"/>
          <w:sz w:val="24"/>
          <w:szCs w:val="24"/>
        </w:rPr>
        <w:footnoteReference w:id="11"/>
      </w:r>
      <w:r w:rsidRPr="008A2108">
        <w:rPr>
          <w:rFonts w:ascii="Times New Roman" w:hAnsi="Times New Roman" w:cs="Times New Roman"/>
          <w:sz w:val="24"/>
          <w:szCs w:val="24"/>
        </w:rPr>
        <w:t xml:space="preserve"> Its goodness is “of the order of love” such that even apparent evils signify the birth pangs of cosmic renewal</w:t>
      </w:r>
      <w:r w:rsidR="006B4067" w:rsidRPr="008A2108">
        <w:rPr>
          <w:rFonts w:ascii="Times New Roman" w:hAnsi="Times New Roman" w:cs="Times New Roman"/>
          <w:sz w:val="24"/>
          <w:szCs w:val="24"/>
        </w:rPr>
        <w:t>.</w:t>
      </w:r>
      <w:r w:rsidR="006B4067" w:rsidRPr="008A2108">
        <w:rPr>
          <w:rStyle w:val="FootnoteReference"/>
          <w:rFonts w:ascii="Times New Roman" w:hAnsi="Times New Roman" w:cs="Times New Roman"/>
          <w:sz w:val="24"/>
          <w:szCs w:val="24"/>
        </w:rPr>
        <w:footnoteReference w:id="12"/>
      </w:r>
      <w:r w:rsidRPr="008A2108">
        <w:rPr>
          <w:rFonts w:ascii="Times New Roman" w:hAnsi="Times New Roman" w:cs="Times New Roman"/>
          <w:sz w:val="24"/>
          <w:szCs w:val="24"/>
        </w:rPr>
        <w:t xml:space="preserve"> Creation is good both in whole and in part: Ecosystems, species, and individual organisms all have an intrinsic value</w:t>
      </w:r>
      <w:r w:rsidR="006B4067" w:rsidRPr="008A2108">
        <w:rPr>
          <w:rFonts w:ascii="Times New Roman" w:hAnsi="Times New Roman" w:cs="Times New Roman"/>
          <w:sz w:val="24"/>
          <w:szCs w:val="24"/>
        </w:rPr>
        <w:t>.</w:t>
      </w:r>
      <w:r w:rsidR="006B4067" w:rsidRPr="008A2108">
        <w:rPr>
          <w:rStyle w:val="FootnoteReference"/>
          <w:rFonts w:ascii="Times New Roman" w:hAnsi="Times New Roman" w:cs="Times New Roman"/>
          <w:sz w:val="24"/>
          <w:szCs w:val="24"/>
        </w:rPr>
        <w:footnoteReference w:id="13"/>
      </w:r>
      <w:r w:rsidRPr="008A2108">
        <w:rPr>
          <w:rFonts w:ascii="Times New Roman" w:hAnsi="Times New Roman" w:cs="Times New Roman"/>
          <w:sz w:val="24"/>
          <w:szCs w:val="24"/>
        </w:rPr>
        <w:t xml:space="preserve"> Whereas the classical view emphasized the organism’s instrumental value to those beings above it on a supposed ontological scale, </w:t>
      </w:r>
      <w:proofErr w:type="spellStart"/>
      <w:r w:rsidRPr="008A2108">
        <w:rPr>
          <w:rFonts w:ascii="Times New Roman" w:hAnsi="Times New Roman" w:cs="Times New Roman"/>
          <w:i/>
          <w:sz w:val="24"/>
          <w:szCs w:val="24"/>
        </w:rPr>
        <w:t>Laudato</w:t>
      </w:r>
      <w:proofErr w:type="spellEnd"/>
      <w:r w:rsidRPr="008A2108">
        <w:rPr>
          <w:rFonts w:ascii="Times New Roman" w:hAnsi="Times New Roman" w:cs="Times New Roman"/>
          <w:i/>
          <w:sz w:val="24"/>
          <w:szCs w:val="24"/>
        </w:rPr>
        <w:t xml:space="preserve"> </w:t>
      </w:r>
      <w:proofErr w:type="spellStart"/>
      <w:r w:rsidRPr="008A2108">
        <w:rPr>
          <w:rFonts w:ascii="Times New Roman" w:hAnsi="Times New Roman" w:cs="Times New Roman"/>
          <w:i/>
          <w:sz w:val="24"/>
          <w:szCs w:val="24"/>
        </w:rPr>
        <w:t>Sí</w:t>
      </w:r>
      <w:proofErr w:type="spellEnd"/>
      <w:r w:rsidRPr="008A2108">
        <w:rPr>
          <w:rFonts w:ascii="Times New Roman" w:hAnsi="Times New Roman" w:cs="Times New Roman"/>
          <w:sz w:val="24"/>
          <w:szCs w:val="24"/>
        </w:rPr>
        <w:t xml:space="preserve"> both reframes the organism as instrumental to the interconnected whole and focuses on the organism’s intrinsic value</w:t>
      </w:r>
      <w:r w:rsidR="006B4067" w:rsidRPr="008A2108">
        <w:rPr>
          <w:rFonts w:ascii="Times New Roman" w:hAnsi="Times New Roman" w:cs="Times New Roman"/>
          <w:sz w:val="24"/>
          <w:szCs w:val="24"/>
        </w:rPr>
        <w:t>.</w:t>
      </w:r>
      <w:r w:rsidR="006B4067" w:rsidRPr="008A2108">
        <w:rPr>
          <w:rStyle w:val="FootnoteReference"/>
          <w:rFonts w:ascii="Times New Roman" w:hAnsi="Times New Roman" w:cs="Times New Roman"/>
          <w:sz w:val="24"/>
          <w:szCs w:val="24"/>
        </w:rPr>
        <w:footnoteReference w:id="14"/>
      </w:r>
      <w:r w:rsidRPr="008A2108">
        <w:rPr>
          <w:rFonts w:ascii="Times New Roman" w:hAnsi="Times New Roman" w:cs="Times New Roman"/>
          <w:sz w:val="24"/>
          <w:szCs w:val="24"/>
        </w:rPr>
        <w:t xml:space="preserve"> Because the divine Father loves </w:t>
      </w:r>
      <w:proofErr w:type="spellStart"/>
      <w:r w:rsidRPr="008A2108">
        <w:rPr>
          <w:rFonts w:ascii="Times New Roman" w:hAnsi="Times New Roman" w:cs="Times New Roman"/>
          <w:sz w:val="24"/>
          <w:szCs w:val="24"/>
        </w:rPr>
        <w:t>otherkind</w:t>
      </w:r>
      <w:proofErr w:type="spellEnd"/>
      <w:r w:rsidRPr="008A2108">
        <w:rPr>
          <w:rFonts w:ascii="Times New Roman" w:hAnsi="Times New Roman" w:cs="Times New Roman"/>
          <w:sz w:val="24"/>
          <w:szCs w:val="24"/>
        </w:rPr>
        <w:t>, we are to elevate their quality of “‘</w:t>
      </w:r>
      <w:r w:rsidRPr="008A2108">
        <w:rPr>
          <w:rFonts w:ascii="Times New Roman" w:hAnsi="Times New Roman" w:cs="Times New Roman"/>
          <w:i/>
          <w:sz w:val="24"/>
          <w:szCs w:val="24"/>
        </w:rPr>
        <w:t xml:space="preserve">being </w:t>
      </w:r>
      <w:r w:rsidRPr="008A2108">
        <w:rPr>
          <w:rFonts w:ascii="Times New Roman" w:hAnsi="Times New Roman" w:cs="Times New Roman"/>
          <w:sz w:val="24"/>
          <w:szCs w:val="24"/>
        </w:rPr>
        <w:t xml:space="preserve">over that of </w:t>
      </w:r>
      <w:r w:rsidRPr="008A2108">
        <w:rPr>
          <w:rFonts w:ascii="Times New Roman" w:hAnsi="Times New Roman" w:cs="Times New Roman"/>
          <w:i/>
          <w:sz w:val="24"/>
          <w:szCs w:val="24"/>
        </w:rPr>
        <w:t>being useful</w:t>
      </w:r>
      <w:r w:rsidR="006B4067" w:rsidRPr="008A2108">
        <w:rPr>
          <w:rFonts w:ascii="Times New Roman" w:hAnsi="Times New Roman" w:cs="Times New Roman"/>
          <w:i/>
          <w:sz w:val="24"/>
          <w:szCs w:val="24"/>
        </w:rPr>
        <w:t>.’</w:t>
      </w:r>
      <w:r w:rsidRPr="008A2108">
        <w:rPr>
          <w:rFonts w:ascii="Times New Roman" w:hAnsi="Times New Roman" w:cs="Times New Roman"/>
          <w:sz w:val="24"/>
          <w:szCs w:val="24"/>
        </w:rPr>
        <w:t>”</w:t>
      </w:r>
      <w:r w:rsidR="006B4067" w:rsidRPr="008A2108">
        <w:rPr>
          <w:rStyle w:val="FootnoteReference"/>
          <w:rFonts w:ascii="Times New Roman" w:hAnsi="Times New Roman" w:cs="Times New Roman"/>
          <w:sz w:val="24"/>
          <w:szCs w:val="24"/>
        </w:rPr>
        <w:footnoteReference w:id="15"/>
      </w:r>
      <w:r w:rsidRPr="008A2108">
        <w:rPr>
          <w:rFonts w:ascii="Times New Roman" w:hAnsi="Times New Roman" w:cs="Times New Roman"/>
          <w:sz w:val="24"/>
          <w:szCs w:val="24"/>
        </w:rPr>
        <w:t xml:space="preserve"> In No. 96, Pope Francis references Matthew 6:26 in regard to “the birds of the air” and affirms, here citing Luke 12:6, that “each one of them is important in God’s eyes.” Francis again cites this verse from Luke in No. 221, following with “I ask all Christians to recognize and to live fully this dimension of their conversion.” </w:t>
      </w:r>
      <w:proofErr w:type="spellStart"/>
      <w:r w:rsidRPr="008A2108">
        <w:rPr>
          <w:rFonts w:ascii="Times New Roman" w:hAnsi="Times New Roman" w:cs="Times New Roman"/>
          <w:i/>
          <w:sz w:val="24"/>
          <w:szCs w:val="24"/>
        </w:rPr>
        <w:t>Laudato</w:t>
      </w:r>
      <w:proofErr w:type="spellEnd"/>
      <w:r w:rsidRPr="008A2108">
        <w:rPr>
          <w:rFonts w:ascii="Times New Roman" w:hAnsi="Times New Roman" w:cs="Times New Roman"/>
          <w:i/>
          <w:sz w:val="24"/>
          <w:szCs w:val="24"/>
        </w:rPr>
        <w:t xml:space="preserve"> </w:t>
      </w:r>
      <w:proofErr w:type="spellStart"/>
      <w:r w:rsidRPr="008A2108">
        <w:rPr>
          <w:rFonts w:ascii="Times New Roman" w:hAnsi="Times New Roman" w:cs="Times New Roman"/>
          <w:i/>
          <w:sz w:val="24"/>
          <w:szCs w:val="24"/>
        </w:rPr>
        <w:t>Sí</w:t>
      </w:r>
      <w:proofErr w:type="spellEnd"/>
      <w:r w:rsidRPr="008A2108">
        <w:rPr>
          <w:rFonts w:ascii="Times New Roman" w:hAnsi="Times New Roman" w:cs="Times New Roman"/>
          <w:sz w:val="24"/>
          <w:szCs w:val="24"/>
        </w:rPr>
        <w:t xml:space="preserve"> ends with a prayer which states in part: “God of love, show us our place in this world as channels of your love for all the creatures of this earth, for not one of them is forgotten in your sight</w:t>
      </w:r>
      <w:r w:rsidR="006B4067" w:rsidRPr="008A2108">
        <w:rPr>
          <w:rFonts w:ascii="Times New Roman" w:hAnsi="Times New Roman" w:cs="Times New Roman"/>
          <w:sz w:val="24"/>
          <w:szCs w:val="24"/>
        </w:rPr>
        <w:t>.</w:t>
      </w:r>
      <w:r w:rsidRPr="008A2108">
        <w:rPr>
          <w:rFonts w:ascii="Times New Roman" w:hAnsi="Times New Roman" w:cs="Times New Roman"/>
          <w:sz w:val="24"/>
          <w:szCs w:val="24"/>
        </w:rPr>
        <w:t>”</w:t>
      </w:r>
      <w:r w:rsidR="006B4067" w:rsidRPr="008A2108">
        <w:rPr>
          <w:rStyle w:val="FootnoteReference"/>
          <w:rFonts w:ascii="Times New Roman" w:hAnsi="Times New Roman" w:cs="Times New Roman"/>
          <w:sz w:val="24"/>
          <w:szCs w:val="24"/>
        </w:rPr>
        <w:footnoteReference w:id="16"/>
      </w:r>
      <w:r w:rsidRPr="008A2108">
        <w:rPr>
          <w:rFonts w:ascii="Times New Roman" w:hAnsi="Times New Roman" w:cs="Times New Roman"/>
          <w:sz w:val="24"/>
          <w:szCs w:val="24"/>
        </w:rPr>
        <w:t xml:space="preserve">. </w:t>
      </w:r>
    </w:p>
    <w:p w:rsidR="002F17DE" w:rsidRPr="008A2108" w:rsidRDefault="002F17DE" w:rsidP="002413B5">
      <w:pPr>
        <w:spacing w:after="0" w:line="480" w:lineRule="auto"/>
        <w:ind w:firstLine="720"/>
        <w:rPr>
          <w:rFonts w:ascii="Times New Roman" w:hAnsi="Times New Roman" w:cs="Times New Roman"/>
          <w:sz w:val="24"/>
          <w:szCs w:val="24"/>
        </w:rPr>
      </w:pPr>
      <w:r w:rsidRPr="008A2108">
        <w:rPr>
          <w:rFonts w:ascii="Times New Roman" w:hAnsi="Times New Roman" w:cs="Times New Roman"/>
          <w:sz w:val="24"/>
          <w:szCs w:val="24"/>
        </w:rPr>
        <w:t>Benedict XVI initiated this emphasis on the creature’s intrinsic value</w:t>
      </w:r>
      <w:r w:rsidR="00925639" w:rsidRPr="008A2108">
        <w:rPr>
          <w:rFonts w:ascii="Times New Roman" w:hAnsi="Times New Roman" w:cs="Times New Roman"/>
          <w:sz w:val="24"/>
          <w:szCs w:val="24"/>
        </w:rPr>
        <w:t>.</w:t>
      </w:r>
      <w:r w:rsidRPr="008A2108">
        <w:rPr>
          <w:rFonts w:ascii="Times New Roman" w:hAnsi="Times New Roman" w:cs="Times New Roman"/>
          <w:sz w:val="24"/>
          <w:szCs w:val="24"/>
        </w:rPr>
        <w:t xml:space="preserve"> Published in 2004 just prior to Benedict’s term, the </w:t>
      </w:r>
      <w:r w:rsidRPr="008A2108">
        <w:rPr>
          <w:rFonts w:ascii="Times New Roman" w:hAnsi="Times New Roman" w:cs="Times New Roman"/>
          <w:i/>
          <w:sz w:val="24"/>
          <w:szCs w:val="24"/>
        </w:rPr>
        <w:t>Compendium of the Social Doctrine of the Church</w:t>
      </w:r>
      <w:r w:rsidRPr="008A2108">
        <w:rPr>
          <w:rFonts w:ascii="Times New Roman" w:hAnsi="Times New Roman" w:cs="Times New Roman"/>
          <w:sz w:val="24"/>
          <w:szCs w:val="24"/>
        </w:rPr>
        <w:t xml:space="preserve"> had asserted </w:t>
      </w:r>
      <w:r w:rsidRPr="008A2108">
        <w:rPr>
          <w:rFonts w:ascii="Times New Roman" w:hAnsi="Times New Roman" w:cs="Times New Roman"/>
          <w:sz w:val="24"/>
          <w:szCs w:val="24"/>
        </w:rPr>
        <w:lastRenderedPageBreak/>
        <w:t>that “man . . . is the only creature willed by God for itself</w:t>
      </w:r>
      <w:r w:rsidR="00925639" w:rsidRPr="008A2108">
        <w:rPr>
          <w:rFonts w:ascii="Times New Roman" w:hAnsi="Times New Roman" w:cs="Times New Roman"/>
          <w:sz w:val="24"/>
          <w:szCs w:val="24"/>
        </w:rPr>
        <w:t>.</w:t>
      </w:r>
      <w:r w:rsidRPr="008A2108">
        <w:rPr>
          <w:rFonts w:ascii="Times New Roman" w:hAnsi="Times New Roman" w:cs="Times New Roman"/>
          <w:sz w:val="24"/>
          <w:szCs w:val="24"/>
        </w:rPr>
        <w:t>”</w:t>
      </w:r>
      <w:r w:rsidR="00925639" w:rsidRPr="008A2108">
        <w:rPr>
          <w:rStyle w:val="FootnoteReference"/>
          <w:rFonts w:ascii="Times New Roman" w:hAnsi="Times New Roman" w:cs="Times New Roman"/>
          <w:sz w:val="24"/>
          <w:szCs w:val="24"/>
        </w:rPr>
        <w:footnoteReference w:id="17"/>
      </w:r>
      <w:r w:rsidRPr="008A2108">
        <w:rPr>
          <w:rFonts w:ascii="Times New Roman" w:hAnsi="Times New Roman" w:cs="Times New Roman"/>
          <w:sz w:val="24"/>
          <w:szCs w:val="24"/>
        </w:rPr>
        <w:t xml:space="preserve"> Given that Benedict’s teaching largely develops the theme of love, this new emphasis may stem from the realization that a loving God wouldn’t designate a class of creatures as available for use, thereby relegating all others to the “user” role. Such a division would not reflect the logic of benevolent social order, or “family,” for which </w:t>
      </w:r>
      <w:proofErr w:type="spellStart"/>
      <w:r w:rsidRPr="008A2108">
        <w:rPr>
          <w:rFonts w:ascii="Times New Roman" w:hAnsi="Times New Roman" w:cs="Times New Roman"/>
          <w:i/>
          <w:sz w:val="24"/>
          <w:szCs w:val="24"/>
        </w:rPr>
        <w:t>Laudato</w:t>
      </w:r>
      <w:proofErr w:type="spellEnd"/>
      <w:r w:rsidRPr="008A2108">
        <w:rPr>
          <w:rFonts w:ascii="Times New Roman" w:hAnsi="Times New Roman" w:cs="Times New Roman"/>
          <w:i/>
          <w:sz w:val="24"/>
          <w:szCs w:val="24"/>
        </w:rPr>
        <w:t xml:space="preserve"> </w:t>
      </w:r>
      <w:proofErr w:type="spellStart"/>
      <w:r w:rsidRPr="008A2108">
        <w:rPr>
          <w:rFonts w:ascii="Times New Roman" w:hAnsi="Times New Roman" w:cs="Times New Roman"/>
          <w:i/>
          <w:sz w:val="24"/>
          <w:szCs w:val="24"/>
        </w:rPr>
        <w:t>Sí</w:t>
      </w:r>
      <w:proofErr w:type="spellEnd"/>
      <w:r w:rsidRPr="008A2108">
        <w:rPr>
          <w:rFonts w:ascii="Times New Roman" w:hAnsi="Times New Roman" w:cs="Times New Roman"/>
          <w:sz w:val="24"/>
          <w:szCs w:val="24"/>
        </w:rPr>
        <w:t xml:space="preserve"> explicitly calls, but of exploitation and slavery</w:t>
      </w:r>
      <w:r w:rsidR="00C95996" w:rsidRPr="008A2108">
        <w:rPr>
          <w:rFonts w:ascii="Times New Roman" w:hAnsi="Times New Roman" w:cs="Times New Roman"/>
          <w:sz w:val="24"/>
          <w:szCs w:val="24"/>
        </w:rPr>
        <w:t>.</w:t>
      </w:r>
      <w:r w:rsidR="00C95996" w:rsidRPr="008A2108">
        <w:rPr>
          <w:rStyle w:val="FootnoteReference"/>
          <w:rFonts w:ascii="Times New Roman" w:hAnsi="Times New Roman" w:cs="Times New Roman"/>
          <w:sz w:val="24"/>
          <w:szCs w:val="24"/>
        </w:rPr>
        <w:footnoteReference w:id="18"/>
      </w:r>
      <w:r w:rsidRPr="008A2108">
        <w:rPr>
          <w:rFonts w:ascii="Times New Roman" w:hAnsi="Times New Roman" w:cs="Times New Roman"/>
          <w:sz w:val="24"/>
          <w:szCs w:val="24"/>
        </w:rPr>
        <w:t xml:space="preserve"> To uphold the intrinsic value of each elevates the individual organism’s own viewpoint and compulsion to survive and thrive. In so doing, it brings an element of cross-species equality. Thus, other living beings are never “mere objects” to be exploited at will, but are owed our consideration if not also our care</w:t>
      </w:r>
      <w:r w:rsidR="00C95996" w:rsidRPr="008A2108">
        <w:rPr>
          <w:rFonts w:ascii="Times New Roman" w:hAnsi="Times New Roman" w:cs="Times New Roman"/>
          <w:sz w:val="24"/>
          <w:szCs w:val="24"/>
        </w:rPr>
        <w:t>.</w:t>
      </w:r>
      <w:r w:rsidR="00C95996" w:rsidRPr="008A2108">
        <w:rPr>
          <w:rStyle w:val="FootnoteReference"/>
          <w:rFonts w:ascii="Times New Roman" w:hAnsi="Times New Roman" w:cs="Times New Roman"/>
          <w:sz w:val="24"/>
          <w:szCs w:val="24"/>
        </w:rPr>
        <w:footnoteReference w:id="19"/>
      </w:r>
      <w:r w:rsidRPr="008A2108">
        <w:rPr>
          <w:rFonts w:ascii="Times New Roman" w:hAnsi="Times New Roman" w:cs="Times New Roman"/>
          <w:sz w:val="24"/>
          <w:szCs w:val="24"/>
        </w:rPr>
        <w:t xml:space="preserve"> However, although </w:t>
      </w:r>
      <w:proofErr w:type="spellStart"/>
      <w:r w:rsidRPr="008A2108">
        <w:rPr>
          <w:rFonts w:ascii="Times New Roman" w:hAnsi="Times New Roman" w:cs="Times New Roman"/>
          <w:i/>
          <w:sz w:val="24"/>
          <w:szCs w:val="24"/>
        </w:rPr>
        <w:t>Laudato</w:t>
      </w:r>
      <w:proofErr w:type="spellEnd"/>
      <w:r w:rsidRPr="008A2108">
        <w:rPr>
          <w:rFonts w:ascii="Times New Roman" w:hAnsi="Times New Roman" w:cs="Times New Roman"/>
          <w:i/>
          <w:sz w:val="24"/>
          <w:szCs w:val="24"/>
        </w:rPr>
        <w:t xml:space="preserve"> </w:t>
      </w:r>
      <w:proofErr w:type="spellStart"/>
      <w:r w:rsidRPr="008A2108">
        <w:rPr>
          <w:rFonts w:ascii="Times New Roman" w:hAnsi="Times New Roman" w:cs="Times New Roman"/>
          <w:i/>
          <w:sz w:val="24"/>
          <w:szCs w:val="24"/>
        </w:rPr>
        <w:t>Sí</w:t>
      </w:r>
      <w:proofErr w:type="spellEnd"/>
      <w:r w:rsidRPr="008A2108">
        <w:rPr>
          <w:rFonts w:ascii="Times New Roman" w:hAnsi="Times New Roman" w:cs="Times New Roman"/>
          <w:sz w:val="24"/>
          <w:szCs w:val="24"/>
        </w:rPr>
        <w:t xml:space="preserve"> is careful to proscribe treating </w:t>
      </w:r>
      <w:proofErr w:type="spellStart"/>
      <w:r w:rsidRPr="008A2108">
        <w:rPr>
          <w:rFonts w:ascii="Times New Roman" w:hAnsi="Times New Roman" w:cs="Times New Roman"/>
          <w:sz w:val="24"/>
          <w:szCs w:val="24"/>
        </w:rPr>
        <w:t>otherkind</w:t>
      </w:r>
      <w:proofErr w:type="spellEnd"/>
      <w:r w:rsidRPr="008A2108">
        <w:rPr>
          <w:rFonts w:ascii="Times New Roman" w:hAnsi="Times New Roman" w:cs="Times New Roman"/>
          <w:sz w:val="24"/>
          <w:szCs w:val="24"/>
        </w:rPr>
        <w:t xml:space="preserve"> as mere objects, it conveys an exceedingly thin theory of animal agency. In its view, nonhuman creatures act to serve each other. They also act in regard to the </w:t>
      </w:r>
      <w:proofErr w:type="spellStart"/>
      <w:r w:rsidRPr="008A2108">
        <w:rPr>
          <w:rFonts w:ascii="Times New Roman" w:hAnsi="Times New Roman" w:cs="Times New Roman"/>
          <w:sz w:val="24"/>
          <w:szCs w:val="24"/>
        </w:rPr>
        <w:t>superempirical</w:t>
      </w:r>
      <w:proofErr w:type="spellEnd"/>
      <w:r w:rsidRPr="008A2108">
        <w:rPr>
          <w:rFonts w:ascii="Times New Roman" w:hAnsi="Times New Roman" w:cs="Times New Roman"/>
          <w:sz w:val="24"/>
          <w:szCs w:val="24"/>
        </w:rPr>
        <w:t xml:space="preserve"> sphere: revealing God’s goodness, praising the Creator, and fulfilling their “ultimate purpose” by “moving forward with us and through us towards . . . God</w:t>
      </w:r>
      <w:r w:rsidR="00C95996" w:rsidRPr="008A2108">
        <w:rPr>
          <w:rFonts w:ascii="Times New Roman" w:hAnsi="Times New Roman" w:cs="Times New Roman"/>
          <w:sz w:val="24"/>
          <w:szCs w:val="24"/>
        </w:rPr>
        <w:t>.</w:t>
      </w:r>
      <w:r w:rsidRPr="008A2108">
        <w:rPr>
          <w:rFonts w:ascii="Times New Roman" w:hAnsi="Times New Roman" w:cs="Times New Roman"/>
          <w:sz w:val="24"/>
          <w:szCs w:val="24"/>
        </w:rPr>
        <w:t>”</w:t>
      </w:r>
      <w:r w:rsidR="00C95996" w:rsidRPr="008A2108">
        <w:rPr>
          <w:rStyle w:val="FootnoteReference"/>
          <w:rFonts w:ascii="Times New Roman" w:hAnsi="Times New Roman" w:cs="Times New Roman"/>
          <w:sz w:val="24"/>
          <w:szCs w:val="24"/>
        </w:rPr>
        <w:footnoteReference w:id="20"/>
      </w:r>
      <w:r w:rsidRPr="008A2108">
        <w:rPr>
          <w:rFonts w:ascii="Times New Roman" w:hAnsi="Times New Roman" w:cs="Times New Roman"/>
          <w:sz w:val="24"/>
          <w:szCs w:val="24"/>
        </w:rPr>
        <w:t xml:space="preserve"> </w:t>
      </w:r>
    </w:p>
    <w:p w:rsidR="002F17DE" w:rsidRPr="008A2108" w:rsidRDefault="002F17DE" w:rsidP="002413B5">
      <w:pPr>
        <w:spacing w:after="0" w:line="480" w:lineRule="auto"/>
        <w:ind w:firstLine="720"/>
        <w:rPr>
          <w:rFonts w:ascii="Times New Roman" w:hAnsi="Times New Roman" w:cs="Times New Roman"/>
          <w:sz w:val="24"/>
          <w:szCs w:val="24"/>
        </w:rPr>
      </w:pPr>
      <w:r w:rsidRPr="008A2108">
        <w:rPr>
          <w:rFonts w:ascii="Times New Roman" w:hAnsi="Times New Roman" w:cs="Times New Roman"/>
          <w:sz w:val="24"/>
          <w:szCs w:val="24"/>
        </w:rPr>
        <w:t xml:space="preserve">There is a tension between the intrinsic worth of nonhuman creatures and Catholicism’s human-centered theory of value, and </w:t>
      </w:r>
      <w:proofErr w:type="spellStart"/>
      <w:r w:rsidRPr="008A2108">
        <w:rPr>
          <w:rFonts w:ascii="Times New Roman" w:hAnsi="Times New Roman" w:cs="Times New Roman"/>
          <w:i/>
          <w:sz w:val="24"/>
          <w:szCs w:val="24"/>
        </w:rPr>
        <w:t>Laudato</w:t>
      </w:r>
      <w:proofErr w:type="spellEnd"/>
      <w:r w:rsidRPr="008A2108">
        <w:rPr>
          <w:rFonts w:ascii="Times New Roman" w:hAnsi="Times New Roman" w:cs="Times New Roman"/>
          <w:i/>
          <w:sz w:val="24"/>
          <w:szCs w:val="24"/>
        </w:rPr>
        <w:t xml:space="preserve"> </w:t>
      </w:r>
      <w:proofErr w:type="spellStart"/>
      <w:r w:rsidRPr="008A2108">
        <w:rPr>
          <w:rFonts w:ascii="Times New Roman" w:hAnsi="Times New Roman" w:cs="Times New Roman"/>
          <w:i/>
          <w:sz w:val="24"/>
          <w:szCs w:val="24"/>
        </w:rPr>
        <w:t>Sí</w:t>
      </w:r>
      <w:proofErr w:type="spellEnd"/>
      <w:r w:rsidRPr="008A2108">
        <w:rPr>
          <w:rFonts w:ascii="Times New Roman" w:hAnsi="Times New Roman" w:cs="Times New Roman"/>
          <w:sz w:val="24"/>
          <w:szCs w:val="24"/>
        </w:rPr>
        <w:t xml:space="preserve"> resolves this, at least to some degree, by placing both terms within the frame</w:t>
      </w:r>
      <w:r w:rsidR="006B5E7B">
        <w:rPr>
          <w:rFonts w:ascii="Times New Roman" w:hAnsi="Times New Roman" w:cs="Times New Roman"/>
          <w:sz w:val="24"/>
          <w:szCs w:val="24"/>
        </w:rPr>
        <w:t xml:space="preserve"> of God’s love for creation. As against</w:t>
      </w:r>
      <w:r w:rsidRPr="008A2108">
        <w:rPr>
          <w:rFonts w:ascii="Times New Roman" w:hAnsi="Times New Roman" w:cs="Times New Roman"/>
          <w:sz w:val="24"/>
          <w:szCs w:val="24"/>
        </w:rPr>
        <w:t xml:space="preserve"> the technocratic paradigm’s elevation of the subject’s use of logic to attain control over some external object; Pope Francis endorses a view of human being as retaining an ontological privilege—a “preeminence”—on the basis of a constitutive and positive moral freedom</w:t>
      </w:r>
      <w:r w:rsidR="00C95996" w:rsidRPr="008A2108">
        <w:rPr>
          <w:rFonts w:ascii="Times New Roman" w:hAnsi="Times New Roman" w:cs="Times New Roman"/>
          <w:sz w:val="24"/>
          <w:szCs w:val="24"/>
        </w:rPr>
        <w:t>.</w:t>
      </w:r>
      <w:r w:rsidR="00C95996" w:rsidRPr="008A2108">
        <w:rPr>
          <w:rStyle w:val="FootnoteReference"/>
          <w:rFonts w:ascii="Times New Roman" w:hAnsi="Times New Roman" w:cs="Times New Roman"/>
          <w:sz w:val="24"/>
          <w:szCs w:val="24"/>
        </w:rPr>
        <w:footnoteReference w:id="21"/>
      </w:r>
      <w:r w:rsidR="00C95996" w:rsidRPr="008A2108">
        <w:rPr>
          <w:rFonts w:ascii="Times New Roman" w:hAnsi="Times New Roman" w:cs="Times New Roman"/>
          <w:sz w:val="24"/>
          <w:szCs w:val="24"/>
        </w:rPr>
        <w:t xml:space="preserve"> </w:t>
      </w:r>
      <w:r w:rsidRPr="008A2108">
        <w:rPr>
          <w:rFonts w:ascii="Times New Roman" w:hAnsi="Times New Roman" w:cs="Times New Roman"/>
          <w:sz w:val="24"/>
          <w:szCs w:val="24"/>
        </w:rPr>
        <w:t xml:space="preserve">A loving God, in other words, creates a morally sensitive human who, because tending toward both a relational openness and </w:t>
      </w:r>
      <w:r w:rsidRPr="008A2108">
        <w:rPr>
          <w:rFonts w:ascii="Times New Roman" w:hAnsi="Times New Roman" w:cs="Times New Roman"/>
          <w:sz w:val="24"/>
          <w:szCs w:val="24"/>
        </w:rPr>
        <w:lastRenderedPageBreak/>
        <w:t>corresponding reflexivity, is oriented toward an ordered love for all creatures</w:t>
      </w:r>
      <w:r w:rsidR="00C95996" w:rsidRPr="008A2108">
        <w:rPr>
          <w:rFonts w:ascii="Times New Roman" w:hAnsi="Times New Roman" w:cs="Times New Roman"/>
          <w:sz w:val="24"/>
          <w:szCs w:val="24"/>
        </w:rPr>
        <w:t>.</w:t>
      </w:r>
      <w:r w:rsidR="00C95996" w:rsidRPr="008A2108">
        <w:rPr>
          <w:rStyle w:val="FootnoteReference"/>
          <w:rFonts w:ascii="Times New Roman" w:hAnsi="Times New Roman" w:cs="Times New Roman"/>
          <w:sz w:val="24"/>
          <w:szCs w:val="24"/>
        </w:rPr>
        <w:footnoteReference w:id="22"/>
      </w:r>
      <w:r w:rsidR="00C95996" w:rsidRPr="008A2108">
        <w:rPr>
          <w:rFonts w:ascii="Times New Roman" w:hAnsi="Times New Roman" w:cs="Times New Roman"/>
          <w:sz w:val="24"/>
          <w:szCs w:val="24"/>
        </w:rPr>
        <w:t xml:space="preserve"> </w:t>
      </w:r>
      <w:r w:rsidRPr="008A2108">
        <w:rPr>
          <w:rFonts w:ascii="Times New Roman" w:hAnsi="Times New Roman" w:cs="Times New Roman"/>
          <w:sz w:val="24"/>
          <w:szCs w:val="24"/>
        </w:rPr>
        <w:t xml:space="preserve">Recent Catholic teaching eschews the traditional vocabulary of Aristotelian substance in favor of an “integral” human at the center of an “integral ecology.” This human makes </w:t>
      </w:r>
      <w:r w:rsidR="006B5E7B">
        <w:rPr>
          <w:rFonts w:ascii="Times New Roman" w:hAnsi="Times New Roman" w:cs="Times New Roman"/>
          <w:sz w:val="24"/>
          <w:szCs w:val="24"/>
        </w:rPr>
        <w:t xml:space="preserve">a “gratuitous,” or </w:t>
      </w:r>
      <w:proofErr w:type="spellStart"/>
      <w:r w:rsidR="006B5E7B">
        <w:rPr>
          <w:rFonts w:ascii="Times New Roman" w:hAnsi="Times New Roman" w:cs="Times New Roman"/>
          <w:sz w:val="24"/>
          <w:szCs w:val="24"/>
        </w:rPr>
        <w:t>agapic</w:t>
      </w:r>
      <w:proofErr w:type="spellEnd"/>
      <w:r w:rsidR="006B5E7B">
        <w:rPr>
          <w:rFonts w:ascii="Times New Roman" w:hAnsi="Times New Roman" w:cs="Times New Roman"/>
          <w:sz w:val="24"/>
          <w:szCs w:val="24"/>
        </w:rPr>
        <w:t xml:space="preserve">, love </w:t>
      </w:r>
      <w:r w:rsidRPr="008A2108">
        <w:rPr>
          <w:rFonts w:ascii="Times New Roman" w:hAnsi="Times New Roman" w:cs="Times New Roman"/>
          <w:sz w:val="24"/>
          <w:szCs w:val="24"/>
        </w:rPr>
        <w:t>the highest norm for every action, generating a “‘culture of care’” able to counteract a destructive consumerism</w:t>
      </w:r>
      <w:r w:rsidR="00C95996" w:rsidRPr="008A2108">
        <w:rPr>
          <w:rFonts w:ascii="Times New Roman" w:hAnsi="Times New Roman" w:cs="Times New Roman"/>
          <w:sz w:val="24"/>
          <w:szCs w:val="24"/>
        </w:rPr>
        <w:t>.</w:t>
      </w:r>
      <w:r w:rsidR="00C95996" w:rsidRPr="008A2108">
        <w:rPr>
          <w:rStyle w:val="FootnoteReference"/>
          <w:rFonts w:ascii="Times New Roman" w:hAnsi="Times New Roman" w:cs="Times New Roman"/>
          <w:sz w:val="24"/>
          <w:szCs w:val="24"/>
        </w:rPr>
        <w:footnoteReference w:id="23"/>
      </w:r>
      <w:r w:rsidRPr="008A2108">
        <w:rPr>
          <w:rFonts w:ascii="Times New Roman" w:hAnsi="Times New Roman" w:cs="Times New Roman"/>
          <w:sz w:val="24"/>
          <w:szCs w:val="24"/>
        </w:rPr>
        <w:t xml:space="preserve"> Like Jesus, this human is appreciatively attentive to every being, seeking to discover God in that creature</w:t>
      </w:r>
      <w:r w:rsidR="00C95996" w:rsidRPr="008A2108">
        <w:rPr>
          <w:rFonts w:ascii="Times New Roman" w:hAnsi="Times New Roman" w:cs="Times New Roman"/>
          <w:sz w:val="24"/>
          <w:szCs w:val="24"/>
        </w:rPr>
        <w:t>.</w:t>
      </w:r>
      <w:r w:rsidR="00C95996" w:rsidRPr="008A2108">
        <w:rPr>
          <w:rStyle w:val="FootnoteReference"/>
          <w:rFonts w:ascii="Times New Roman" w:hAnsi="Times New Roman" w:cs="Times New Roman"/>
          <w:sz w:val="24"/>
          <w:szCs w:val="24"/>
        </w:rPr>
        <w:footnoteReference w:id="24"/>
      </w:r>
      <w:r w:rsidRPr="008A2108">
        <w:rPr>
          <w:rFonts w:ascii="Times New Roman" w:hAnsi="Times New Roman" w:cs="Times New Roman"/>
          <w:sz w:val="24"/>
          <w:szCs w:val="24"/>
        </w:rPr>
        <w:t xml:space="preserve"> The human’s ultimate aim is to initiate those healing relationships able “to lead . . . creatures back to their Creator</w:t>
      </w:r>
      <w:r w:rsidR="00C95996" w:rsidRPr="008A2108">
        <w:rPr>
          <w:rFonts w:ascii="Times New Roman" w:hAnsi="Times New Roman" w:cs="Times New Roman"/>
          <w:sz w:val="24"/>
          <w:szCs w:val="24"/>
        </w:rPr>
        <w:t>.</w:t>
      </w:r>
      <w:r w:rsidRPr="008A2108">
        <w:rPr>
          <w:rFonts w:ascii="Times New Roman" w:hAnsi="Times New Roman" w:cs="Times New Roman"/>
          <w:sz w:val="24"/>
          <w:szCs w:val="24"/>
        </w:rPr>
        <w:t>”</w:t>
      </w:r>
      <w:r w:rsidR="00C95996" w:rsidRPr="008A2108">
        <w:rPr>
          <w:rStyle w:val="FootnoteReference"/>
          <w:rFonts w:ascii="Times New Roman" w:hAnsi="Times New Roman" w:cs="Times New Roman"/>
          <w:sz w:val="24"/>
          <w:szCs w:val="24"/>
        </w:rPr>
        <w:footnoteReference w:id="25"/>
      </w:r>
      <w:r w:rsidR="00C95996" w:rsidRPr="008A2108">
        <w:rPr>
          <w:rFonts w:ascii="Times New Roman" w:hAnsi="Times New Roman" w:cs="Times New Roman"/>
          <w:sz w:val="24"/>
          <w:szCs w:val="24"/>
        </w:rPr>
        <w:t xml:space="preserve"> </w:t>
      </w:r>
    </w:p>
    <w:p w:rsidR="002F17DE" w:rsidRPr="008A2108" w:rsidRDefault="002F17DE" w:rsidP="002413B5">
      <w:pPr>
        <w:spacing w:after="0" w:line="480" w:lineRule="auto"/>
        <w:ind w:firstLine="720"/>
        <w:rPr>
          <w:rFonts w:ascii="Times New Roman" w:hAnsi="Times New Roman" w:cs="Times New Roman"/>
          <w:sz w:val="24"/>
          <w:szCs w:val="24"/>
        </w:rPr>
      </w:pPr>
      <w:r w:rsidRPr="008A2108">
        <w:rPr>
          <w:rFonts w:ascii="Times New Roman" w:hAnsi="Times New Roman" w:cs="Times New Roman"/>
          <w:i/>
          <w:sz w:val="24"/>
          <w:szCs w:val="24"/>
        </w:rPr>
        <w:t xml:space="preserve"> </w:t>
      </w:r>
      <w:proofErr w:type="spellStart"/>
      <w:r w:rsidRPr="008A2108">
        <w:rPr>
          <w:rFonts w:ascii="Times New Roman" w:hAnsi="Times New Roman" w:cs="Times New Roman"/>
          <w:i/>
          <w:sz w:val="24"/>
          <w:szCs w:val="24"/>
        </w:rPr>
        <w:t>Laudato</w:t>
      </w:r>
      <w:proofErr w:type="spellEnd"/>
      <w:r w:rsidRPr="008A2108">
        <w:rPr>
          <w:rFonts w:ascii="Times New Roman" w:hAnsi="Times New Roman" w:cs="Times New Roman"/>
          <w:i/>
          <w:sz w:val="24"/>
          <w:szCs w:val="24"/>
        </w:rPr>
        <w:t xml:space="preserve"> </w:t>
      </w:r>
      <w:proofErr w:type="spellStart"/>
      <w:r w:rsidRPr="008A2108">
        <w:rPr>
          <w:rFonts w:ascii="Times New Roman" w:hAnsi="Times New Roman" w:cs="Times New Roman"/>
          <w:i/>
          <w:sz w:val="24"/>
          <w:szCs w:val="24"/>
        </w:rPr>
        <w:t>Sí</w:t>
      </w:r>
      <w:proofErr w:type="spellEnd"/>
      <w:r w:rsidRPr="008A2108">
        <w:rPr>
          <w:rFonts w:ascii="Times New Roman" w:hAnsi="Times New Roman" w:cs="Times New Roman"/>
          <w:sz w:val="24"/>
          <w:szCs w:val="24"/>
        </w:rPr>
        <w:t xml:space="preserve"> maintains Catholicism’s longstanding distinction between humans and nonhuman “things</w:t>
      </w:r>
      <w:r w:rsidR="00C95996" w:rsidRPr="008A2108">
        <w:rPr>
          <w:rFonts w:ascii="Times New Roman" w:hAnsi="Times New Roman" w:cs="Times New Roman"/>
          <w:sz w:val="24"/>
          <w:szCs w:val="24"/>
        </w:rPr>
        <w:t>.</w:t>
      </w:r>
      <w:r w:rsidRPr="008A2108">
        <w:rPr>
          <w:rFonts w:ascii="Times New Roman" w:hAnsi="Times New Roman" w:cs="Times New Roman"/>
          <w:sz w:val="24"/>
          <w:szCs w:val="24"/>
        </w:rPr>
        <w:t>”</w:t>
      </w:r>
      <w:r w:rsidR="00C95996" w:rsidRPr="008A2108">
        <w:rPr>
          <w:rStyle w:val="FootnoteReference"/>
          <w:rFonts w:ascii="Times New Roman" w:hAnsi="Times New Roman" w:cs="Times New Roman"/>
          <w:sz w:val="24"/>
          <w:szCs w:val="24"/>
        </w:rPr>
        <w:footnoteReference w:id="26"/>
      </w:r>
      <w:r w:rsidRPr="008A2108">
        <w:rPr>
          <w:rFonts w:ascii="Times New Roman" w:hAnsi="Times New Roman" w:cs="Times New Roman"/>
          <w:sz w:val="24"/>
          <w:szCs w:val="24"/>
        </w:rPr>
        <w:t xml:space="preserve"> Humans possess more than just a general openness and reflexivity—they are the only Earth creatures whose relational powers enable an I-Thou dialogue with God and their human fellows. This accords them a unique dignity</w:t>
      </w:r>
      <w:r w:rsidR="00C95996" w:rsidRPr="008A2108">
        <w:rPr>
          <w:rFonts w:ascii="Times New Roman" w:hAnsi="Times New Roman" w:cs="Times New Roman"/>
          <w:sz w:val="24"/>
          <w:szCs w:val="24"/>
        </w:rPr>
        <w:t>.</w:t>
      </w:r>
      <w:r w:rsidR="00C95996" w:rsidRPr="008A2108">
        <w:rPr>
          <w:rStyle w:val="FootnoteReference"/>
          <w:rFonts w:ascii="Times New Roman" w:hAnsi="Times New Roman" w:cs="Times New Roman"/>
          <w:sz w:val="24"/>
          <w:szCs w:val="24"/>
        </w:rPr>
        <w:footnoteReference w:id="27"/>
      </w:r>
      <w:r w:rsidRPr="008A2108">
        <w:rPr>
          <w:rFonts w:ascii="Times New Roman" w:hAnsi="Times New Roman" w:cs="Times New Roman"/>
          <w:sz w:val="24"/>
          <w:szCs w:val="24"/>
        </w:rPr>
        <w:t xml:space="preserve"> In keeping with the logic of family, however: “We do not understand our superiority as a reason for personal glory or irresponsible dominion, but rather as a different capacity which . . . entails a serious responsibility stemming from our faith</w:t>
      </w:r>
      <w:r w:rsidR="00C95996" w:rsidRPr="008A2108">
        <w:rPr>
          <w:rFonts w:ascii="Times New Roman" w:hAnsi="Times New Roman" w:cs="Times New Roman"/>
          <w:sz w:val="24"/>
          <w:szCs w:val="24"/>
        </w:rPr>
        <w:t>.</w:t>
      </w:r>
      <w:r w:rsidRPr="008A2108">
        <w:rPr>
          <w:rFonts w:ascii="Times New Roman" w:hAnsi="Times New Roman" w:cs="Times New Roman"/>
          <w:sz w:val="24"/>
          <w:szCs w:val="24"/>
        </w:rPr>
        <w:t>”</w:t>
      </w:r>
      <w:r w:rsidR="00C95996" w:rsidRPr="008A2108">
        <w:rPr>
          <w:rStyle w:val="FootnoteReference"/>
          <w:rFonts w:ascii="Times New Roman" w:hAnsi="Times New Roman" w:cs="Times New Roman"/>
          <w:sz w:val="24"/>
          <w:szCs w:val="24"/>
        </w:rPr>
        <w:footnoteReference w:id="28"/>
      </w:r>
      <w:r w:rsidRPr="008A2108">
        <w:rPr>
          <w:rFonts w:ascii="Times New Roman" w:hAnsi="Times New Roman" w:cs="Times New Roman"/>
          <w:sz w:val="24"/>
          <w:szCs w:val="24"/>
        </w:rPr>
        <w:t xml:space="preserve"> An integral ecology moves outward from—and usually returns benefits that enrich—those practices of family life and human society which inculcate respect for humans and other beings</w:t>
      </w:r>
      <w:r w:rsidR="00C95996" w:rsidRPr="008A2108">
        <w:rPr>
          <w:rFonts w:ascii="Times New Roman" w:hAnsi="Times New Roman" w:cs="Times New Roman"/>
          <w:sz w:val="24"/>
          <w:szCs w:val="24"/>
        </w:rPr>
        <w:t>.</w:t>
      </w:r>
      <w:r w:rsidR="00C95996" w:rsidRPr="008A2108">
        <w:rPr>
          <w:rStyle w:val="FootnoteReference"/>
          <w:rFonts w:ascii="Times New Roman" w:hAnsi="Times New Roman" w:cs="Times New Roman"/>
          <w:sz w:val="24"/>
          <w:szCs w:val="24"/>
        </w:rPr>
        <w:footnoteReference w:id="29"/>
      </w:r>
      <w:r w:rsidRPr="008A2108">
        <w:rPr>
          <w:rFonts w:ascii="Times New Roman" w:hAnsi="Times New Roman" w:cs="Times New Roman"/>
          <w:sz w:val="24"/>
          <w:szCs w:val="24"/>
        </w:rPr>
        <w:t xml:space="preserve"> And it seeks only to cultivate, not control, their essentially open-ended development. Hence, </w:t>
      </w:r>
      <w:proofErr w:type="spellStart"/>
      <w:r w:rsidRPr="008A2108">
        <w:rPr>
          <w:rFonts w:ascii="Times New Roman" w:hAnsi="Times New Roman" w:cs="Times New Roman"/>
          <w:i/>
          <w:sz w:val="24"/>
          <w:szCs w:val="24"/>
        </w:rPr>
        <w:t>Laudato</w:t>
      </w:r>
      <w:proofErr w:type="spellEnd"/>
      <w:r w:rsidRPr="008A2108">
        <w:rPr>
          <w:rFonts w:ascii="Times New Roman" w:hAnsi="Times New Roman" w:cs="Times New Roman"/>
          <w:i/>
          <w:sz w:val="24"/>
          <w:szCs w:val="24"/>
        </w:rPr>
        <w:t xml:space="preserve"> </w:t>
      </w:r>
      <w:proofErr w:type="spellStart"/>
      <w:r w:rsidRPr="008A2108">
        <w:rPr>
          <w:rFonts w:ascii="Times New Roman" w:hAnsi="Times New Roman" w:cs="Times New Roman"/>
          <w:i/>
          <w:sz w:val="24"/>
          <w:szCs w:val="24"/>
        </w:rPr>
        <w:t>Sí</w:t>
      </w:r>
      <w:proofErr w:type="spellEnd"/>
      <w:r w:rsidRPr="008A2108">
        <w:rPr>
          <w:rFonts w:ascii="Times New Roman" w:hAnsi="Times New Roman" w:cs="Times New Roman"/>
          <w:sz w:val="24"/>
          <w:szCs w:val="24"/>
        </w:rPr>
        <w:t xml:space="preserve"> understands the human to be a simultaneously exalted and humble “cooperator with God in the work of creation</w:t>
      </w:r>
      <w:r w:rsidR="008A2108" w:rsidRPr="008A2108">
        <w:rPr>
          <w:rFonts w:ascii="Times New Roman" w:hAnsi="Times New Roman" w:cs="Times New Roman"/>
          <w:sz w:val="24"/>
          <w:szCs w:val="24"/>
        </w:rPr>
        <w:t>.</w:t>
      </w:r>
      <w:r w:rsidRPr="008A2108">
        <w:rPr>
          <w:rFonts w:ascii="Times New Roman" w:hAnsi="Times New Roman" w:cs="Times New Roman"/>
          <w:sz w:val="24"/>
          <w:szCs w:val="24"/>
        </w:rPr>
        <w:t>”</w:t>
      </w:r>
      <w:r w:rsidR="008A2108" w:rsidRPr="008A2108">
        <w:rPr>
          <w:rStyle w:val="FootnoteReference"/>
          <w:rFonts w:ascii="Times New Roman" w:hAnsi="Times New Roman" w:cs="Times New Roman"/>
          <w:sz w:val="24"/>
          <w:szCs w:val="24"/>
        </w:rPr>
        <w:footnoteReference w:id="30"/>
      </w:r>
      <w:r w:rsidRPr="008A2108">
        <w:rPr>
          <w:rFonts w:ascii="Times New Roman" w:hAnsi="Times New Roman" w:cs="Times New Roman"/>
          <w:sz w:val="24"/>
          <w:szCs w:val="24"/>
        </w:rPr>
        <w:t xml:space="preserve"> </w:t>
      </w:r>
    </w:p>
    <w:p w:rsidR="002F17DE" w:rsidRPr="008A2108" w:rsidRDefault="002F17DE" w:rsidP="002413B5">
      <w:pPr>
        <w:spacing w:after="0" w:line="480" w:lineRule="auto"/>
        <w:ind w:firstLine="720"/>
        <w:rPr>
          <w:rFonts w:ascii="Times New Roman" w:hAnsi="Times New Roman" w:cs="Times New Roman"/>
          <w:sz w:val="24"/>
          <w:szCs w:val="24"/>
        </w:rPr>
      </w:pPr>
      <w:r w:rsidRPr="008A2108">
        <w:rPr>
          <w:rFonts w:ascii="Times New Roman" w:hAnsi="Times New Roman" w:cs="Times New Roman"/>
          <w:sz w:val="24"/>
          <w:szCs w:val="24"/>
        </w:rPr>
        <w:lastRenderedPageBreak/>
        <w:t>This is a vision of the human as enacting nothing less than a “universal solidarity” with nature as sustained by a sense of “deep communion.” As Pope Francis explains, “[p]</w:t>
      </w:r>
      <w:proofErr w:type="spellStart"/>
      <w:r w:rsidRPr="008A2108">
        <w:rPr>
          <w:rFonts w:ascii="Times New Roman" w:hAnsi="Times New Roman" w:cs="Times New Roman"/>
          <w:sz w:val="24"/>
          <w:szCs w:val="24"/>
        </w:rPr>
        <w:t>aying</w:t>
      </w:r>
      <w:proofErr w:type="spellEnd"/>
      <w:r w:rsidRPr="008A2108">
        <w:rPr>
          <w:rFonts w:ascii="Times New Roman" w:hAnsi="Times New Roman" w:cs="Times New Roman"/>
          <w:sz w:val="24"/>
          <w:szCs w:val="24"/>
        </w:rPr>
        <w:t xml:space="preserve"> attention to [the divine manifestation in nature], we learn to see ourselves in relation to all other creatures: ‘I express myself in expressing the world; in my effort to decipher the sacredness of the world, I explore my own</w:t>
      </w:r>
      <w:r w:rsidR="008A2108" w:rsidRPr="008A2108">
        <w:rPr>
          <w:rFonts w:ascii="Times New Roman" w:hAnsi="Times New Roman" w:cs="Times New Roman"/>
          <w:sz w:val="24"/>
          <w:szCs w:val="24"/>
        </w:rPr>
        <w:t>.</w:t>
      </w:r>
      <w:r w:rsidRPr="008A2108">
        <w:rPr>
          <w:rFonts w:ascii="Times New Roman" w:hAnsi="Times New Roman" w:cs="Times New Roman"/>
          <w:sz w:val="24"/>
          <w:szCs w:val="24"/>
        </w:rPr>
        <w:t>’”</w:t>
      </w:r>
      <w:r w:rsidR="008A2108" w:rsidRPr="008A2108">
        <w:rPr>
          <w:rStyle w:val="FootnoteReference"/>
          <w:rFonts w:ascii="Times New Roman" w:hAnsi="Times New Roman" w:cs="Times New Roman"/>
          <w:sz w:val="24"/>
          <w:szCs w:val="24"/>
        </w:rPr>
        <w:footnoteReference w:id="31"/>
      </w:r>
      <w:r w:rsidRPr="008A2108">
        <w:rPr>
          <w:rFonts w:ascii="Times New Roman" w:hAnsi="Times New Roman" w:cs="Times New Roman"/>
          <w:sz w:val="24"/>
          <w:szCs w:val="24"/>
        </w:rPr>
        <w:t xml:space="preserve"> Such solidarity entails a universal reconciliation as exemplified by Saint Francis of Assisi: </w:t>
      </w:r>
    </w:p>
    <w:p w:rsidR="002F17DE" w:rsidRPr="008A2108" w:rsidRDefault="002F17DE" w:rsidP="00D90DD4">
      <w:pPr>
        <w:spacing w:after="0" w:line="276" w:lineRule="auto"/>
        <w:ind w:left="720"/>
        <w:rPr>
          <w:rFonts w:ascii="Times New Roman" w:hAnsi="Times New Roman" w:cs="Times New Roman"/>
          <w:sz w:val="24"/>
          <w:szCs w:val="24"/>
        </w:rPr>
      </w:pPr>
      <w:r w:rsidRPr="008A2108">
        <w:rPr>
          <w:rFonts w:ascii="Times New Roman" w:hAnsi="Times New Roman" w:cs="Times New Roman"/>
          <w:sz w:val="24"/>
          <w:szCs w:val="24"/>
        </w:rPr>
        <w:t>‘[F]</w:t>
      </w:r>
      <w:proofErr w:type="spellStart"/>
      <w:r w:rsidRPr="008A2108">
        <w:rPr>
          <w:rFonts w:ascii="Times New Roman" w:hAnsi="Times New Roman" w:cs="Times New Roman"/>
          <w:sz w:val="24"/>
          <w:szCs w:val="24"/>
        </w:rPr>
        <w:t>rom</w:t>
      </w:r>
      <w:proofErr w:type="spellEnd"/>
      <w:r w:rsidRPr="008A2108">
        <w:rPr>
          <w:rFonts w:ascii="Times New Roman" w:hAnsi="Times New Roman" w:cs="Times New Roman"/>
          <w:sz w:val="24"/>
          <w:szCs w:val="24"/>
        </w:rPr>
        <w:t xml:space="preserve"> a reflection on the primary source of all things,  . . . he would call creatures, no matter how small, by the name of ‘brother’ or ‘sister’</w:t>
      </w:r>
      <w:r w:rsidR="00AC14D1">
        <w:rPr>
          <w:rFonts w:ascii="Times New Roman" w:hAnsi="Times New Roman" w:cs="Times New Roman"/>
          <w:sz w:val="24"/>
          <w:szCs w:val="24"/>
        </w:rPr>
        <w:t>’</w:t>
      </w:r>
      <w:r w:rsidRPr="008A2108">
        <w:rPr>
          <w:rFonts w:ascii="Times New Roman" w:hAnsi="Times New Roman" w:cs="Times New Roman"/>
          <w:sz w:val="24"/>
          <w:szCs w:val="24"/>
        </w:rPr>
        <w:t>. Such a conviction cannot be written off as naïve romanticism, for it affects the choices which determine our behavior. If we approach nature and the environment without this openness to awe and wonder, if we no longer speak the language of fraternity and beauty in our relationship with the world, our attitude will be that of masters, consumers, ruthless exploiters, unable to set limits on their [sic] immediate needs. By contrast, if we feel intimately united with all that exists, then sobriety and care will well up spontaneously. The poverty and austerity of Saint Francis were . . . radical: a refusal to turn reality into an object simply to be used and controlled</w:t>
      </w:r>
      <w:r w:rsidR="008A2108">
        <w:rPr>
          <w:rFonts w:ascii="Times New Roman" w:hAnsi="Times New Roman" w:cs="Times New Roman"/>
          <w:sz w:val="24"/>
          <w:szCs w:val="24"/>
        </w:rPr>
        <w:t>.</w:t>
      </w:r>
      <w:r w:rsidR="008A2108">
        <w:rPr>
          <w:rStyle w:val="FootnoteReference"/>
          <w:rFonts w:ascii="Times New Roman" w:hAnsi="Times New Roman" w:cs="Times New Roman"/>
          <w:sz w:val="24"/>
          <w:szCs w:val="24"/>
        </w:rPr>
        <w:footnoteReference w:id="32"/>
      </w:r>
      <w:r w:rsidRPr="008A2108">
        <w:rPr>
          <w:rFonts w:ascii="Times New Roman" w:hAnsi="Times New Roman" w:cs="Times New Roman"/>
          <w:sz w:val="24"/>
          <w:szCs w:val="24"/>
        </w:rPr>
        <w:t xml:space="preserve">  </w:t>
      </w:r>
    </w:p>
    <w:p w:rsidR="00D90DD4" w:rsidRDefault="002F17DE" w:rsidP="00D90DD4">
      <w:pPr>
        <w:spacing w:after="0" w:line="240" w:lineRule="auto"/>
        <w:rPr>
          <w:b/>
          <w:sz w:val="24"/>
          <w:szCs w:val="24"/>
        </w:rPr>
      </w:pPr>
      <w:r w:rsidRPr="008A2108">
        <w:rPr>
          <w:b/>
          <w:sz w:val="24"/>
          <w:szCs w:val="24"/>
        </w:rPr>
        <w:tab/>
      </w:r>
    </w:p>
    <w:p w:rsidR="002F17DE" w:rsidRPr="008A2108" w:rsidRDefault="002F17DE" w:rsidP="00D90DD4">
      <w:pPr>
        <w:spacing w:after="0" w:line="480" w:lineRule="auto"/>
        <w:ind w:firstLine="720"/>
        <w:rPr>
          <w:rFonts w:ascii="Times New Roman" w:hAnsi="Times New Roman" w:cs="Times New Roman"/>
          <w:sz w:val="24"/>
          <w:szCs w:val="24"/>
        </w:rPr>
      </w:pPr>
      <w:r w:rsidRPr="008A2108">
        <w:rPr>
          <w:rFonts w:ascii="Times New Roman" w:hAnsi="Times New Roman" w:cs="Times New Roman"/>
          <w:sz w:val="24"/>
          <w:szCs w:val="24"/>
        </w:rPr>
        <w:t xml:space="preserve">As the above exposition indicates, </w:t>
      </w:r>
      <w:proofErr w:type="spellStart"/>
      <w:r w:rsidRPr="008A2108">
        <w:rPr>
          <w:rFonts w:ascii="Times New Roman" w:hAnsi="Times New Roman" w:cs="Times New Roman"/>
          <w:sz w:val="24"/>
          <w:szCs w:val="24"/>
        </w:rPr>
        <w:t>Laudato</w:t>
      </w:r>
      <w:proofErr w:type="spellEnd"/>
      <w:r w:rsidRPr="008A2108">
        <w:rPr>
          <w:rFonts w:ascii="Times New Roman" w:hAnsi="Times New Roman" w:cs="Times New Roman"/>
          <w:sz w:val="24"/>
          <w:szCs w:val="24"/>
        </w:rPr>
        <w:t xml:space="preserve"> </w:t>
      </w:r>
      <w:proofErr w:type="spellStart"/>
      <w:r w:rsidRPr="008A2108">
        <w:rPr>
          <w:rFonts w:ascii="Times New Roman" w:hAnsi="Times New Roman" w:cs="Times New Roman"/>
          <w:sz w:val="24"/>
          <w:szCs w:val="24"/>
        </w:rPr>
        <w:t>Sí</w:t>
      </w:r>
      <w:proofErr w:type="spellEnd"/>
      <w:r w:rsidRPr="008A2108">
        <w:rPr>
          <w:rFonts w:ascii="Times New Roman" w:hAnsi="Times New Roman" w:cs="Times New Roman"/>
          <w:sz w:val="24"/>
          <w:szCs w:val="24"/>
        </w:rPr>
        <w:t xml:space="preserve"> is concerned, primarily, to convey a thick description of the real. Consequently, its explicit treatment of human duties to animals is brief, and occurs under the subtitle “New biological technologies</w:t>
      </w:r>
      <w:r w:rsidR="008A2108">
        <w:rPr>
          <w:rFonts w:ascii="Times New Roman" w:hAnsi="Times New Roman" w:cs="Times New Roman"/>
          <w:sz w:val="24"/>
          <w:szCs w:val="24"/>
        </w:rPr>
        <w:t>”:</w:t>
      </w:r>
      <w:r w:rsidRPr="008A2108">
        <w:rPr>
          <w:rFonts w:ascii="Times New Roman" w:hAnsi="Times New Roman" w:cs="Times New Roman"/>
          <w:sz w:val="24"/>
          <w:szCs w:val="24"/>
        </w:rPr>
        <w:t xml:space="preserve">  </w:t>
      </w:r>
    </w:p>
    <w:p w:rsidR="002F17DE" w:rsidRPr="008A2108" w:rsidRDefault="002F17DE" w:rsidP="00AC14D1">
      <w:pPr>
        <w:spacing w:after="0" w:line="276" w:lineRule="auto"/>
        <w:ind w:left="720"/>
        <w:rPr>
          <w:rFonts w:ascii="Times New Roman" w:hAnsi="Times New Roman" w:cs="Times New Roman"/>
          <w:sz w:val="24"/>
          <w:szCs w:val="24"/>
        </w:rPr>
      </w:pPr>
      <w:r w:rsidRPr="008A2108">
        <w:rPr>
          <w:rFonts w:ascii="Times New Roman" w:hAnsi="Times New Roman" w:cs="Times New Roman"/>
          <w:sz w:val="24"/>
          <w:szCs w:val="24"/>
        </w:rPr>
        <w:t xml:space="preserve">While human intervention on plants and animals is permissible when it pertains to the necessities of human life, the </w:t>
      </w:r>
      <w:r w:rsidRPr="008A2108">
        <w:rPr>
          <w:rFonts w:ascii="Times New Roman" w:hAnsi="Times New Roman" w:cs="Times New Roman"/>
          <w:i/>
          <w:sz w:val="24"/>
          <w:szCs w:val="24"/>
        </w:rPr>
        <w:t>Catechism of the Catholic Church</w:t>
      </w:r>
      <w:r w:rsidRPr="008A2108">
        <w:rPr>
          <w:rFonts w:ascii="Times New Roman" w:hAnsi="Times New Roman" w:cs="Times New Roman"/>
          <w:sz w:val="24"/>
          <w:szCs w:val="24"/>
        </w:rPr>
        <w:t xml:space="preserve"> teaches that experimentation on animals is morally acceptable only ‘if it remains within reasonable limits [and] contributes to caring for or saving human lives’. The </w:t>
      </w:r>
      <w:r w:rsidRPr="008A2108">
        <w:rPr>
          <w:rFonts w:ascii="Times New Roman" w:hAnsi="Times New Roman" w:cs="Times New Roman"/>
          <w:i/>
          <w:sz w:val="24"/>
          <w:szCs w:val="24"/>
        </w:rPr>
        <w:t>Catechism</w:t>
      </w:r>
      <w:r w:rsidRPr="008A2108">
        <w:rPr>
          <w:rFonts w:ascii="Times New Roman" w:hAnsi="Times New Roman" w:cs="Times New Roman"/>
          <w:sz w:val="24"/>
          <w:szCs w:val="24"/>
        </w:rPr>
        <w:t xml:space="preserve"> firmly states that human power has limits and that ‘it is contrary to human dignity to cause animals to suffer or die needlessly</w:t>
      </w:r>
      <w:r w:rsidR="008A2108">
        <w:rPr>
          <w:rFonts w:ascii="Times New Roman" w:hAnsi="Times New Roman" w:cs="Times New Roman"/>
          <w:sz w:val="24"/>
          <w:szCs w:val="24"/>
        </w:rPr>
        <w:t>.</w:t>
      </w:r>
      <w:r w:rsidRPr="008A2108">
        <w:rPr>
          <w:rFonts w:ascii="Times New Roman" w:hAnsi="Times New Roman" w:cs="Times New Roman"/>
          <w:sz w:val="24"/>
          <w:szCs w:val="24"/>
        </w:rPr>
        <w:t>’</w:t>
      </w:r>
      <w:r w:rsidR="008A2108">
        <w:rPr>
          <w:rStyle w:val="FootnoteReference"/>
          <w:rFonts w:ascii="Times New Roman" w:hAnsi="Times New Roman" w:cs="Times New Roman"/>
          <w:sz w:val="24"/>
          <w:szCs w:val="24"/>
        </w:rPr>
        <w:footnoteReference w:id="33"/>
      </w:r>
      <w:r w:rsidRPr="008A2108">
        <w:rPr>
          <w:rFonts w:ascii="Times New Roman" w:hAnsi="Times New Roman" w:cs="Times New Roman"/>
          <w:sz w:val="24"/>
          <w:szCs w:val="24"/>
        </w:rPr>
        <w:t xml:space="preserve">  </w:t>
      </w:r>
    </w:p>
    <w:p w:rsidR="00AC14D1" w:rsidRDefault="00AC14D1" w:rsidP="00AC14D1">
      <w:pPr>
        <w:spacing w:after="0" w:line="240" w:lineRule="auto"/>
        <w:rPr>
          <w:rFonts w:ascii="Times New Roman" w:hAnsi="Times New Roman" w:cs="Times New Roman"/>
          <w:sz w:val="24"/>
          <w:szCs w:val="24"/>
        </w:rPr>
      </w:pPr>
    </w:p>
    <w:p w:rsidR="002F17DE" w:rsidRDefault="002F17DE" w:rsidP="00AC14D1">
      <w:pPr>
        <w:spacing w:after="0" w:line="480" w:lineRule="auto"/>
        <w:rPr>
          <w:rFonts w:ascii="Times New Roman" w:hAnsi="Times New Roman" w:cs="Times New Roman"/>
          <w:sz w:val="24"/>
          <w:szCs w:val="24"/>
        </w:rPr>
      </w:pPr>
      <w:r w:rsidRPr="008A2108">
        <w:rPr>
          <w:rFonts w:ascii="Times New Roman" w:hAnsi="Times New Roman" w:cs="Times New Roman"/>
          <w:sz w:val="24"/>
          <w:szCs w:val="24"/>
        </w:rPr>
        <w:t xml:space="preserve">The synthesis of a God who desires the flourishing of each and an “integral” human being will approach a cross-species justice in terms of a perceived necessity. In 2009, for example, </w:t>
      </w:r>
      <w:r w:rsidRPr="008A2108">
        <w:rPr>
          <w:rFonts w:ascii="Times New Roman" w:hAnsi="Times New Roman" w:cs="Times New Roman"/>
          <w:sz w:val="24"/>
          <w:szCs w:val="24"/>
        </w:rPr>
        <w:lastRenderedPageBreak/>
        <w:t>Benedict XVI emphasized that we may only use nature “responsibly to satisfy our legitimate needs</w:t>
      </w:r>
      <w:r w:rsidR="008A2108">
        <w:rPr>
          <w:rFonts w:ascii="Times New Roman" w:hAnsi="Times New Roman" w:cs="Times New Roman"/>
          <w:sz w:val="24"/>
          <w:szCs w:val="24"/>
        </w:rPr>
        <w:t>.</w:t>
      </w:r>
      <w:r w:rsidRPr="008A2108">
        <w:rPr>
          <w:rFonts w:ascii="Times New Roman" w:hAnsi="Times New Roman" w:cs="Times New Roman"/>
          <w:sz w:val="24"/>
          <w:szCs w:val="24"/>
        </w:rPr>
        <w:t>”</w:t>
      </w:r>
      <w:r w:rsidR="008A2108">
        <w:rPr>
          <w:rStyle w:val="FootnoteReference"/>
          <w:rFonts w:ascii="Times New Roman" w:hAnsi="Times New Roman" w:cs="Times New Roman"/>
          <w:sz w:val="24"/>
          <w:szCs w:val="24"/>
        </w:rPr>
        <w:footnoteReference w:id="34"/>
      </w:r>
      <w:r w:rsidRPr="008A2108">
        <w:rPr>
          <w:rFonts w:ascii="Times New Roman" w:hAnsi="Times New Roman" w:cs="Times New Roman"/>
          <w:sz w:val="24"/>
          <w:szCs w:val="24"/>
        </w:rPr>
        <w:t xml:space="preserve"> It can be helpful to imagine this approach as adhering to a concentric pattern, in the sense that central interests hold more ethical weight than peripheral interests, in proportion to their centrality. This is true in regard to a given agential “I” as well as any surrounding array of potential moral patients. For example, given that a shark’s fin is more central to the shark’s flourishing than it is to Sally’s, Sally avoids ordering shark fin soup. At the same time, if potentially lethal whacks to a shark will save Javier’s dog (or family member/friend/fellow human) who is floundering in harm’s way, Javier has warrant to whack away. A focus on necessity will balance two ultimate and incommensurable goods—a universal compassion, and love in its alternative aspect as a fidelity to the relatively near-and-dear—and counsel the avoidance of unnecessary suffering, or </w:t>
      </w:r>
      <w:proofErr w:type="spellStart"/>
      <w:r w:rsidRPr="008A2108">
        <w:rPr>
          <w:rFonts w:ascii="Times New Roman" w:hAnsi="Times New Roman" w:cs="Times New Roman"/>
          <w:sz w:val="24"/>
          <w:szCs w:val="24"/>
        </w:rPr>
        <w:t>nonmaleficence</w:t>
      </w:r>
      <w:proofErr w:type="spellEnd"/>
      <w:r w:rsidRPr="008A2108">
        <w:rPr>
          <w:rFonts w:ascii="Times New Roman" w:hAnsi="Times New Roman" w:cs="Times New Roman"/>
          <w:sz w:val="24"/>
          <w:szCs w:val="24"/>
        </w:rPr>
        <w:t xml:space="preserve">. Put positively, the elevation of </w:t>
      </w:r>
      <w:proofErr w:type="spellStart"/>
      <w:r w:rsidRPr="008A2108">
        <w:rPr>
          <w:rFonts w:ascii="Times New Roman" w:hAnsi="Times New Roman" w:cs="Times New Roman"/>
          <w:sz w:val="24"/>
          <w:szCs w:val="24"/>
        </w:rPr>
        <w:t>nonmaleficence</w:t>
      </w:r>
      <w:proofErr w:type="spellEnd"/>
      <w:r w:rsidRPr="008A2108">
        <w:rPr>
          <w:rFonts w:ascii="Times New Roman" w:hAnsi="Times New Roman" w:cs="Times New Roman"/>
          <w:sz w:val="24"/>
          <w:szCs w:val="24"/>
        </w:rPr>
        <w:t xml:space="preserve"> requires the prudential management of resources so as to meet the diverse needs of a creaturely family. Conversely, it requires any harm be justified by either the generation of a greater benefit, prevention of a greater harm, or both.</w:t>
      </w:r>
      <w:r w:rsidR="008A2108">
        <w:rPr>
          <w:rStyle w:val="FootnoteReference"/>
          <w:rFonts w:ascii="Times New Roman" w:hAnsi="Times New Roman" w:cs="Times New Roman"/>
          <w:sz w:val="24"/>
          <w:szCs w:val="24"/>
        </w:rPr>
        <w:footnoteReference w:id="35"/>
      </w:r>
      <w:r w:rsidRPr="008A2108">
        <w:rPr>
          <w:rFonts w:ascii="Times New Roman" w:hAnsi="Times New Roman" w:cs="Times New Roman"/>
          <w:sz w:val="24"/>
          <w:szCs w:val="24"/>
        </w:rPr>
        <w:t xml:space="preserve"> While a focus on </w:t>
      </w:r>
      <w:proofErr w:type="spellStart"/>
      <w:r w:rsidRPr="008A2108">
        <w:rPr>
          <w:rFonts w:ascii="Times New Roman" w:hAnsi="Times New Roman" w:cs="Times New Roman"/>
          <w:sz w:val="24"/>
          <w:szCs w:val="24"/>
        </w:rPr>
        <w:t>nonmaleficence</w:t>
      </w:r>
      <w:proofErr w:type="spellEnd"/>
      <w:r w:rsidRPr="008A2108">
        <w:rPr>
          <w:rFonts w:ascii="Times New Roman" w:hAnsi="Times New Roman" w:cs="Times New Roman"/>
          <w:sz w:val="24"/>
          <w:szCs w:val="24"/>
        </w:rPr>
        <w:t xml:space="preserve"> is useful, it can be significantly enriched by </w:t>
      </w:r>
      <w:proofErr w:type="spellStart"/>
      <w:r w:rsidRPr="008A2108">
        <w:rPr>
          <w:rFonts w:ascii="Times New Roman" w:hAnsi="Times New Roman" w:cs="Times New Roman"/>
          <w:sz w:val="24"/>
          <w:szCs w:val="24"/>
        </w:rPr>
        <w:t>Merleau-Ponty’s</w:t>
      </w:r>
      <w:proofErr w:type="spellEnd"/>
      <w:r w:rsidRPr="008A2108">
        <w:rPr>
          <w:rFonts w:ascii="Times New Roman" w:hAnsi="Times New Roman" w:cs="Times New Roman"/>
          <w:sz w:val="24"/>
          <w:szCs w:val="24"/>
        </w:rPr>
        <w:t xml:space="preserve"> conception of a cross-species being-with. </w:t>
      </w:r>
    </w:p>
    <w:p w:rsidR="00AC14D1" w:rsidRDefault="00AC14D1">
      <w:pPr>
        <w:rPr>
          <w:b/>
          <w:sz w:val="16"/>
          <w:szCs w:val="16"/>
        </w:rPr>
      </w:pPr>
      <w:r>
        <w:rPr>
          <w:b/>
          <w:sz w:val="16"/>
          <w:szCs w:val="16"/>
        </w:rPr>
        <w:br w:type="page"/>
      </w:r>
    </w:p>
    <w:p w:rsidR="002F17DE" w:rsidRDefault="002F17DE" w:rsidP="005F3328">
      <w:pPr>
        <w:spacing w:after="0" w:line="240" w:lineRule="auto"/>
        <w:rPr>
          <w:rFonts w:ascii="Times New Roman" w:hAnsi="Times New Roman" w:cs="Times New Roman"/>
          <w:b/>
          <w:sz w:val="24"/>
          <w:szCs w:val="24"/>
        </w:rPr>
      </w:pPr>
      <w:r w:rsidRPr="008A2108">
        <w:rPr>
          <w:rFonts w:ascii="Times New Roman" w:hAnsi="Times New Roman" w:cs="Times New Roman"/>
          <w:b/>
          <w:sz w:val="24"/>
          <w:szCs w:val="24"/>
        </w:rPr>
        <w:lastRenderedPageBreak/>
        <w:t xml:space="preserve">A </w:t>
      </w:r>
      <w:proofErr w:type="spellStart"/>
      <w:r w:rsidRPr="008A2108">
        <w:rPr>
          <w:rFonts w:ascii="Times New Roman" w:hAnsi="Times New Roman" w:cs="Times New Roman"/>
          <w:b/>
          <w:sz w:val="24"/>
          <w:szCs w:val="24"/>
        </w:rPr>
        <w:t>Merleau-Pontyan</w:t>
      </w:r>
      <w:proofErr w:type="spellEnd"/>
      <w:r w:rsidRPr="008A2108">
        <w:rPr>
          <w:rFonts w:ascii="Times New Roman" w:hAnsi="Times New Roman" w:cs="Times New Roman"/>
          <w:b/>
          <w:sz w:val="24"/>
          <w:szCs w:val="24"/>
        </w:rPr>
        <w:t xml:space="preserve"> </w:t>
      </w:r>
      <w:r w:rsidR="005A3AD2">
        <w:rPr>
          <w:rFonts w:ascii="Times New Roman" w:hAnsi="Times New Roman" w:cs="Times New Roman"/>
          <w:b/>
          <w:sz w:val="24"/>
          <w:szCs w:val="24"/>
        </w:rPr>
        <w:t>B</w:t>
      </w:r>
      <w:r w:rsidRPr="008A2108">
        <w:rPr>
          <w:rFonts w:ascii="Times New Roman" w:hAnsi="Times New Roman" w:cs="Times New Roman"/>
          <w:b/>
          <w:sz w:val="24"/>
          <w:szCs w:val="24"/>
        </w:rPr>
        <w:t>eing-</w:t>
      </w:r>
      <w:r w:rsidR="005A3AD2">
        <w:rPr>
          <w:rFonts w:ascii="Times New Roman" w:hAnsi="Times New Roman" w:cs="Times New Roman"/>
          <w:b/>
          <w:sz w:val="24"/>
          <w:szCs w:val="24"/>
        </w:rPr>
        <w:t>W</w:t>
      </w:r>
      <w:r w:rsidRPr="008A2108">
        <w:rPr>
          <w:rFonts w:ascii="Times New Roman" w:hAnsi="Times New Roman" w:cs="Times New Roman"/>
          <w:b/>
          <w:sz w:val="24"/>
          <w:szCs w:val="24"/>
        </w:rPr>
        <w:t xml:space="preserve">ith </w:t>
      </w:r>
      <w:r w:rsidR="005A3AD2">
        <w:rPr>
          <w:rFonts w:ascii="Times New Roman" w:hAnsi="Times New Roman" w:cs="Times New Roman"/>
          <w:b/>
          <w:sz w:val="24"/>
          <w:szCs w:val="24"/>
        </w:rPr>
        <w:t>G</w:t>
      </w:r>
      <w:r w:rsidRPr="008A2108">
        <w:rPr>
          <w:rFonts w:ascii="Times New Roman" w:hAnsi="Times New Roman" w:cs="Times New Roman"/>
          <w:b/>
          <w:sz w:val="24"/>
          <w:szCs w:val="24"/>
        </w:rPr>
        <w:t xml:space="preserve">rounds the </w:t>
      </w:r>
      <w:r w:rsidR="005A3AD2">
        <w:rPr>
          <w:rFonts w:ascii="Times New Roman" w:hAnsi="Times New Roman" w:cs="Times New Roman"/>
          <w:b/>
          <w:sz w:val="24"/>
          <w:szCs w:val="24"/>
        </w:rPr>
        <w:t>S</w:t>
      </w:r>
      <w:r w:rsidRPr="008A2108">
        <w:rPr>
          <w:rFonts w:ascii="Times New Roman" w:hAnsi="Times New Roman" w:cs="Times New Roman"/>
          <w:b/>
          <w:sz w:val="24"/>
          <w:szCs w:val="24"/>
        </w:rPr>
        <w:t xml:space="preserve">ense of a </w:t>
      </w:r>
      <w:r w:rsidR="005A3AD2">
        <w:rPr>
          <w:rFonts w:ascii="Times New Roman" w:hAnsi="Times New Roman" w:cs="Times New Roman"/>
          <w:b/>
          <w:sz w:val="24"/>
          <w:szCs w:val="24"/>
        </w:rPr>
        <w:t>S</w:t>
      </w:r>
      <w:r w:rsidRPr="008A2108">
        <w:rPr>
          <w:rFonts w:ascii="Times New Roman" w:hAnsi="Times New Roman" w:cs="Times New Roman"/>
          <w:b/>
          <w:sz w:val="24"/>
          <w:szCs w:val="24"/>
        </w:rPr>
        <w:t xml:space="preserve">hared </w:t>
      </w:r>
      <w:proofErr w:type="spellStart"/>
      <w:r w:rsidR="005A3AD2">
        <w:rPr>
          <w:rFonts w:ascii="Times New Roman" w:hAnsi="Times New Roman" w:cs="Times New Roman"/>
          <w:b/>
          <w:sz w:val="24"/>
          <w:szCs w:val="24"/>
        </w:rPr>
        <w:t>I</w:t>
      </w:r>
      <w:r w:rsidRPr="008A2108">
        <w:rPr>
          <w:rFonts w:ascii="Times New Roman" w:hAnsi="Times New Roman" w:cs="Times New Roman"/>
          <w:b/>
          <w:sz w:val="24"/>
          <w:szCs w:val="24"/>
        </w:rPr>
        <w:t>nterworld</w:t>
      </w:r>
      <w:proofErr w:type="spellEnd"/>
      <w:r w:rsidRPr="008A2108">
        <w:rPr>
          <w:rFonts w:ascii="Times New Roman" w:hAnsi="Times New Roman" w:cs="Times New Roman"/>
          <w:b/>
          <w:sz w:val="24"/>
          <w:szCs w:val="24"/>
        </w:rPr>
        <w:t xml:space="preserve"> </w:t>
      </w:r>
    </w:p>
    <w:p w:rsidR="005F3328" w:rsidRPr="008A2108" w:rsidRDefault="005F3328" w:rsidP="005F3328">
      <w:pPr>
        <w:spacing w:after="0" w:line="240" w:lineRule="auto"/>
        <w:rPr>
          <w:rFonts w:ascii="Times New Roman" w:hAnsi="Times New Roman" w:cs="Times New Roman"/>
          <w:b/>
          <w:sz w:val="24"/>
          <w:szCs w:val="24"/>
        </w:rPr>
      </w:pPr>
    </w:p>
    <w:p w:rsidR="002F17DE" w:rsidRPr="008A2108" w:rsidRDefault="002F17DE" w:rsidP="005F3328">
      <w:pPr>
        <w:spacing w:after="0" w:line="480" w:lineRule="auto"/>
        <w:ind w:firstLine="720"/>
        <w:rPr>
          <w:b/>
        </w:rPr>
      </w:pPr>
      <w:r w:rsidRPr="008A2108">
        <w:rPr>
          <w:rFonts w:ascii="Times New Roman" w:hAnsi="Times New Roman" w:cs="Times New Roman"/>
          <w:sz w:val="24"/>
          <w:szCs w:val="24"/>
        </w:rPr>
        <w:t xml:space="preserve">Articulating a radical break with Cartesian dualism, </w:t>
      </w:r>
      <w:proofErr w:type="spellStart"/>
      <w:r w:rsidRPr="008A2108">
        <w:rPr>
          <w:rFonts w:ascii="Times New Roman" w:hAnsi="Times New Roman" w:cs="Times New Roman"/>
          <w:sz w:val="24"/>
          <w:szCs w:val="24"/>
        </w:rPr>
        <w:t>Merleau</w:t>
      </w:r>
      <w:proofErr w:type="spellEnd"/>
      <w:r w:rsidRPr="008A2108">
        <w:rPr>
          <w:rFonts w:ascii="Times New Roman" w:hAnsi="Times New Roman" w:cs="Times New Roman"/>
          <w:sz w:val="24"/>
          <w:szCs w:val="24"/>
        </w:rPr>
        <w:t>-</w:t>
      </w:r>
      <w:proofErr w:type="spellStart"/>
      <w:r w:rsidRPr="008A2108">
        <w:rPr>
          <w:rFonts w:ascii="Times New Roman" w:hAnsi="Times New Roman" w:cs="Times New Roman"/>
          <w:sz w:val="24"/>
          <w:szCs w:val="24"/>
        </w:rPr>
        <w:t>Ponty</w:t>
      </w:r>
      <w:proofErr w:type="spellEnd"/>
      <w:r w:rsidRPr="008A2108">
        <w:rPr>
          <w:rFonts w:ascii="Times New Roman" w:hAnsi="Times New Roman" w:cs="Times New Roman"/>
          <w:sz w:val="24"/>
          <w:szCs w:val="24"/>
        </w:rPr>
        <w:t xml:space="preserve"> describes a “knowing” body situated in space and time</w:t>
      </w:r>
      <w:r w:rsidR="00840892">
        <w:rPr>
          <w:rFonts w:ascii="Times New Roman" w:hAnsi="Times New Roman" w:cs="Times New Roman"/>
          <w:sz w:val="24"/>
          <w:szCs w:val="24"/>
        </w:rPr>
        <w:t>.</w:t>
      </w:r>
      <w:r w:rsidR="00840892">
        <w:rPr>
          <w:rStyle w:val="FootnoteReference"/>
          <w:rFonts w:ascii="Times New Roman" w:hAnsi="Times New Roman" w:cs="Times New Roman"/>
          <w:sz w:val="24"/>
          <w:szCs w:val="24"/>
        </w:rPr>
        <w:footnoteReference w:id="36"/>
      </w:r>
      <w:r w:rsidRPr="008A2108">
        <w:rPr>
          <w:rFonts w:ascii="Times New Roman" w:hAnsi="Times New Roman" w:cs="Times New Roman"/>
          <w:sz w:val="24"/>
          <w:szCs w:val="24"/>
        </w:rPr>
        <w:t xml:space="preserve"> A quick sketch of three concepts—intentionality, spatiality, and habit</w:t>
      </w:r>
      <w:r w:rsidRPr="008A2108">
        <w:rPr>
          <w:rFonts w:ascii="Times New Roman" w:hAnsi="Times New Roman" w:cs="Times New Roman"/>
          <w:sz w:val="24"/>
          <w:szCs w:val="24"/>
          <w:rtl/>
          <w:lang w:bidi="he-IL"/>
        </w:rPr>
        <w:t>—</w:t>
      </w:r>
      <w:r w:rsidRPr="008A2108">
        <w:rPr>
          <w:rFonts w:ascii="Times New Roman" w:hAnsi="Times New Roman" w:cs="Times New Roman"/>
          <w:sz w:val="24"/>
          <w:szCs w:val="24"/>
        </w:rPr>
        <w:t xml:space="preserve">can introduce his thought and inform his notion of being “with.” </w:t>
      </w:r>
      <w:proofErr w:type="spellStart"/>
      <w:r w:rsidRPr="008A2108">
        <w:rPr>
          <w:rFonts w:ascii="Times New Roman" w:hAnsi="Times New Roman" w:cs="Times New Roman"/>
          <w:sz w:val="24"/>
          <w:szCs w:val="24"/>
        </w:rPr>
        <w:t>Merleau</w:t>
      </w:r>
      <w:proofErr w:type="spellEnd"/>
      <w:r w:rsidRPr="008A2108">
        <w:rPr>
          <w:rFonts w:ascii="Times New Roman" w:hAnsi="Times New Roman" w:cs="Times New Roman"/>
          <w:sz w:val="24"/>
          <w:szCs w:val="24"/>
        </w:rPr>
        <w:t>-</w:t>
      </w:r>
      <w:proofErr w:type="spellStart"/>
      <w:r w:rsidRPr="008A2108">
        <w:rPr>
          <w:rFonts w:ascii="Times New Roman" w:hAnsi="Times New Roman" w:cs="Times New Roman"/>
          <w:sz w:val="24"/>
          <w:szCs w:val="24"/>
        </w:rPr>
        <w:t>Ponty</w:t>
      </w:r>
      <w:proofErr w:type="spellEnd"/>
      <w:r w:rsidRPr="008A2108">
        <w:rPr>
          <w:rFonts w:ascii="Times New Roman" w:hAnsi="Times New Roman" w:cs="Times New Roman"/>
          <w:sz w:val="24"/>
          <w:szCs w:val="24"/>
        </w:rPr>
        <w:t xml:space="preserve"> begins with the observation that a living body seeks, or intends, fulfillment in the larger world which surrounds it. Sight, for example, “is achieved and fulfills itself in the thing seen</w:t>
      </w:r>
      <w:r w:rsidR="00840892">
        <w:rPr>
          <w:rFonts w:ascii="Times New Roman" w:hAnsi="Times New Roman" w:cs="Times New Roman"/>
          <w:sz w:val="24"/>
          <w:szCs w:val="24"/>
        </w:rPr>
        <w:t>.</w:t>
      </w:r>
      <w:r w:rsidRPr="008A2108">
        <w:rPr>
          <w:rFonts w:ascii="Times New Roman" w:hAnsi="Times New Roman" w:cs="Times New Roman"/>
          <w:sz w:val="24"/>
          <w:szCs w:val="24"/>
        </w:rPr>
        <w:t>”</w:t>
      </w:r>
      <w:r w:rsidR="00840892">
        <w:rPr>
          <w:rStyle w:val="FootnoteReference"/>
          <w:rFonts w:ascii="Times New Roman" w:hAnsi="Times New Roman" w:cs="Times New Roman"/>
          <w:sz w:val="24"/>
          <w:szCs w:val="24"/>
        </w:rPr>
        <w:footnoteReference w:id="37"/>
      </w:r>
      <w:r w:rsidR="00FE64CC">
        <w:rPr>
          <w:rFonts w:ascii="Times New Roman" w:hAnsi="Times New Roman" w:cs="Times New Roman"/>
          <w:sz w:val="24"/>
          <w:szCs w:val="24"/>
        </w:rPr>
        <w:t xml:space="preserve"> </w:t>
      </w:r>
      <w:r w:rsidRPr="008A2108">
        <w:rPr>
          <w:rFonts w:ascii="Times New Roman" w:hAnsi="Times New Roman" w:cs="Times New Roman"/>
          <w:sz w:val="24"/>
          <w:szCs w:val="24"/>
        </w:rPr>
        <w:t xml:space="preserve"> </w:t>
      </w:r>
      <w:r w:rsidR="00FE64CC">
        <w:rPr>
          <w:rFonts w:ascii="Times New Roman" w:hAnsi="Times New Roman" w:cs="Times New Roman"/>
          <w:sz w:val="24"/>
          <w:szCs w:val="24"/>
        </w:rPr>
        <w:t xml:space="preserve"> </w:t>
      </w:r>
      <w:r w:rsidRPr="008A2108">
        <w:rPr>
          <w:rFonts w:ascii="Times New Roman" w:hAnsi="Times New Roman" w:cs="Times New Roman"/>
          <w:sz w:val="24"/>
          <w:szCs w:val="24"/>
        </w:rPr>
        <w:t>It does this in an active, prospective way, as when we focus our gaze precisely in order to see what is there. Importantly, it is not subjective consciousness, but the body as a synergic system which integrates the input from two retinas to accomplish one single gaze</w:t>
      </w:r>
      <w:r w:rsidR="00FE64CC">
        <w:rPr>
          <w:rFonts w:ascii="Times New Roman" w:hAnsi="Times New Roman" w:cs="Times New Roman"/>
          <w:sz w:val="24"/>
          <w:szCs w:val="24"/>
        </w:rPr>
        <w:t>.</w:t>
      </w:r>
      <w:r w:rsidR="00FE64CC">
        <w:rPr>
          <w:rStyle w:val="FootnoteReference"/>
          <w:rFonts w:ascii="Times New Roman" w:hAnsi="Times New Roman" w:cs="Times New Roman"/>
          <w:sz w:val="24"/>
          <w:szCs w:val="24"/>
        </w:rPr>
        <w:footnoteReference w:id="38"/>
      </w:r>
      <w:r w:rsidRPr="008A2108">
        <w:rPr>
          <w:rFonts w:ascii="Times New Roman" w:hAnsi="Times New Roman" w:cs="Times New Roman"/>
          <w:sz w:val="24"/>
          <w:szCs w:val="24"/>
        </w:rPr>
        <w:t xml:space="preserve"> As so integrated, the body responds to a sort of invitation or motivation that emanates from some object.</w:t>
      </w:r>
      <w:r w:rsidRPr="008A2108">
        <w:rPr>
          <w:rStyle w:val="FootnoteReference"/>
          <w:rFonts w:ascii="Times New Roman" w:hAnsi="Times New Roman" w:cs="Times New Roman"/>
          <w:sz w:val="24"/>
          <w:szCs w:val="24"/>
        </w:rPr>
        <w:footnoteReference w:id="39"/>
      </w:r>
      <w:r w:rsidRPr="008A2108">
        <w:rPr>
          <w:rFonts w:ascii="Times New Roman" w:hAnsi="Times New Roman" w:cs="Times New Roman"/>
          <w:sz w:val="24"/>
          <w:szCs w:val="24"/>
        </w:rPr>
        <w:t xml:space="preserve"> And although objects both present and absent, material and immaterial can “invite” such attention; the concrete and particular object, as evincing a relative qualitative richness, is prototypical in this regard.</w:t>
      </w:r>
    </w:p>
    <w:p w:rsidR="002F17DE" w:rsidRPr="008A2108" w:rsidRDefault="002F17DE" w:rsidP="002413B5">
      <w:pPr>
        <w:spacing w:after="0" w:line="480" w:lineRule="auto"/>
        <w:ind w:firstLine="720"/>
        <w:rPr>
          <w:rFonts w:ascii="Times New Roman" w:hAnsi="Times New Roman" w:cs="Times New Roman"/>
          <w:sz w:val="24"/>
          <w:szCs w:val="24"/>
        </w:rPr>
      </w:pPr>
      <w:r w:rsidRPr="008A2108">
        <w:rPr>
          <w:rFonts w:ascii="Times New Roman" w:hAnsi="Times New Roman" w:cs="Times New Roman"/>
          <w:sz w:val="24"/>
          <w:szCs w:val="24"/>
        </w:rPr>
        <w:t>Spatiality shifts the focus to the acting body itself. Because we aim at things through our moving bodies, our most fundamental apprehension of our body regards its functional value</w:t>
      </w:r>
      <w:r w:rsidR="00FE64CC">
        <w:rPr>
          <w:rFonts w:ascii="Times New Roman" w:hAnsi="Times New Roman" w:cs="Times New Roman"/>
          <w:sz w:val="24"/>
          <w:szCs w:val="24"/>
        </w:rPr>
        <w:t>.</w:t>
      </w:r>
      <w:r w:rsidR="00FE64CC">
        <w:rPr>
          <w:rStyle w:val="FootnoteReference"/>
          <w:rFonts w:ascii="Times New Roman" w:hAnsi="Times New Roman" w:cs="Times New Roman"/>
          <w:sz w:val="24"/>
          <w:szCs w:val="24"/>
        </w:rPr>
        <w:footnoteReference w:id="40"/>
      </w:r>
      <w:r w:rsidRPr="008A2108">
        <w:rPr>
          <w:rFonts w:ascii="Times New Roman" w:hAnsi="Times New Roman" w:cs="Times New Roman"/>
          <w:sz w:val="24"/>
          <w:szCs w:val="24"/>
        </w:rPr>
        <w:t xml:space="preserve"> Correlatively, </w:t>
      </w:r>
      <w:proofErr w:type="spellStart"/>
      <w:r w:rsidRPr="008A2108">
        <w:rPr>
          <w:rFonts w:ascii="Times New Roman" w:hAnsi="Times New Roman" w:cs="Times New Roman"/>
          <w:sz w:val="24"/>
          <w:szCs w:val="24"/>
        </w:rPr>
        <w:t>Merleau</w:t>
      </w:r>
      <w:proofErr w:type="spellEnd"/>
      <w:r w:rsidRPr="008A2108">
        <w:rPr>
          <w:rFonts w:ascii="Times New Roman" w:hAnsi="Times New Roman" w:cs="Times New Roman"/>
          <w:sz w:val="24"/>
          <w:szCs w:val="24"/>
        </w:rPr>
        <w:t>-</w:t>
      </w:r>
      <w:proofErr w:type="spellStart"/>
      <w:r w:rsidRPr="008A2108">
        <w:rPr>
          <w:rFonts w:ascii="Times New Roman" w:hAnsi="Times New Roman" w:cs="Times New Roman"/>
          <w:sz w:val="24"/>
          <w:szCs w:val="24"/>
        </w:rPr>
        <w:t>Ponty</w:t>
      </w:r>
      <w:proofErr w:type="spellEnd"/>
      <w:r w:rsidRPr="008A2108">
        <w:rPr>
          <w:rFonts w:ascii="Times New Roman" w:hAnsi="Times New Roman" w:cs="Times New Roman"/>
          <w:sz w:val="24"/>
          <w:szCs w:val="24"/>
        </w:rPr>
        <w:t xml:space="preserve"> understands “world” to mean “a collection of things . . . present[</w:t>
      </w:r>
      <w:proofErr w:type="spellStart"/>
      <w:r w:rsidRPr="008A2108">
        <w:rPr>
          <w:rFonts w:ascii="Times New Roman" w:hAnsi="Times New Roman" w:cs="Times New Roman"/>
          <w:sz w:val="24"/>
          <w:szCs w:val="24"/>
        </w:rPr>
        <w:t>ing</w:t>
      </w:r>
      <w:proofErr w:type="spellEnd"/>
      <w:r w:rsidRPr="008A2108">
        <w:rPr>
          <w:rFonts w:ascii="Times New Roman" w:hAnsi="Times New Roman" w:cs="Times New Roman"/>
          <w:sz w:val="24"/>
          <w:szCs w:val="24"/>
        </w:rPr>
        <w:t>] themselves to our body as ‘to be touched’, ‘to be taken’, ‘to be climbed over</w:t>
      </w:r>
      <w:r w:rsidR="00FE64CC">
        <w:rPr>
          <w:rFonts w:ascii="Times New Roman" w:hAnsi="Times New Roman" w:cs="Times New Roman"/>
          <w:sz w:val="24"/>
          <w:szCs w:val="24"/>
        </w:rPr>
        <w:t>.</w:t>
      </w:r>
      <w:r w:rsidRPr="008A2108">
        <w:rPr>
          <w:rFonts w:ascii="Times New Roman" w:hAnsi="Times New Roman" w:cs="Times New Roman"/>
          <w:sz w:val="24"/>
          <w:szCs w:val="24"/>
        </w:rPr>
        <w:t>’”</w:t>
      </w:r>
      <w:r w:rsidR="00FE64CC">
        <w:rPr>
          <w:rStyle w:val="FootnoteReference"/>
          <w:rFonts w:ascii="Times New Roman" w:hAnsi="Times New Roman" w:cs="Times New Roman"/>
          <w:sz w:val="24"/>
          <w:szCs w:val="24"/>
        </w:rPr>
        <w:footnoteReference w:id="41"/>
      </w:r>
      <w:r w:rsidRPr="008A2108">
        <w:rPr>
          <w:rFonts w:ascii="Times New Roman" w:hAnsi="Times New Roman" w:cs="Times New Roman"/>
          <w:sz w:val="24"/>
          <w:szCs w:val="24"/>
        </w:rPr>
        <w:t xml:space="preserve"> I approach a triangle, for example, through its spatial configuration—which makes explicit its possibilities. Hence, I arrive at its meaning by viewing it from different angles. A given object’s </w:t>
      </w:r>
      <w:r w:rsidRPr="008A2108">
        <w:rPr>
          <w:rFonts w:ascii="Times New Roman" w:hAnsi="Times New Roman" w:cs="Times New Roman"/>
          <w:sz w:val="24"/>
          <w:szCs w:val="24"/>
        </w:rPr>
        <w:lastRenderedPageBreak/>
        <w:t>meaning is neither an eternal idea, nor a collection of its quantifiable characteristics, but the sort of structure expressed by “a certain modality of my hold on the world</w:t>
      </w:r>
      <w:r w:rsidR="00FE64CC">
        <w:rPr>
          <w:rFonts w:ascii="Times New Roman" w:hAnsi="Times New Roman" w:cs="Times New Roman"/>
          <w:sz w:val="24"/>
          <w:szCs w:val="24"/>
        </w:rPr>
        <w:t>.</w:t>
      </w:r>
      <w:r w:rsidRPr="008A2108">
        <w:rPr>
          <w:rFonts w:ascii="Times New Roman" w:hAnsi="Times New Roman" w:cs="Times New Roman"/>
          <w:sz w:val="24"/>
          <w:szCs w:val="24"/>
        </w:rPr>
        <w:t>”</w:t>
      </w:r>
      <w:r w:rsidR="00FE64CC">
        <w:rPr>
          <w:rStyle w:val="FootnoteReference"/>
          <w:rFonts w:ascii="Times New Roman" w:hAnsi="Times New Roman" w:cs="Times New Roman"/>
          <w:sz w:val="24"/>
          <w:szCs w:val="24"/>
        </w:rPr>
        <w:footnoteReference w:id="42"/>
      </w:r>
      <w:r w:rsidRPr="008A2108">
        <w:rPr>
          <w:rFonts w:ascii="Times New Roman" w:hAnsi="Times New Roman" w:cs="Times New Roman"/>
          <w:sz w:val="24"/>
          <w:szCs w:val="24"/>
        </w:rPr>
        <w:t xml:space="preserve"> </w:t>
      </w:r>
    </w:p>
    <w:p w:rsidR="002F17DE" w:rsidRPr="008A2108" w:rsidRDefault="002F17DE" w:rsidP="002413B5">
      <w:pPr>
        <w:spacing w:after="0" w:line="480" w:lineRule="auto"/>
        <w:ind w:firstLine="720"/>
        <w:rPr>
          <w:rFonts w:ascii="Times New Roman" w:hAnsi="Times New Roman" w:cs="Times New Roman"/>
          <w:sz w:val="24"/>
          <w:szCs w:val="24"/>
        </w:rPr>
      </w:pPr>
      <w:r w:rsidRPr="008A2108">
        <w:rPr>
          <w:rFonts w:ascii="Times New Roman" w:hAnsi="Times New Roman" w:cs="Times New Roman"/>
          <w:sz w:val="24"/>
          <w:szCs w:val="24"/>
        </w:rPr>
        <w:t xml:space="preserve">Third, it is the arc between an intention and the fulfillment of that intention, as manifested by the body in motion, which makes explicit—in a strongly </w:t>
      </w:r>
      <w:proofErr w:type="spellStart"/>
      <w:r w:rsidRPr="008A2108">
        <w:rPr>
          <w:rFonts w:ascii="Times New Roman" w:hAnsi="Times New Roman" w:cs="Times New Roman"/>
          <w:sz w:val="24"/>
          <w:szCs w:val="24"/>
        </w:rPr>
        <w:t>processual</w:t>
      </w:r>
      <w:proofErr w:type="spellEnd"/>
      <w:r w:rsidRPr="008A2108">
        <w:rPr>
          <w:rFonts w:ascii="Times New Roman" w:hAnsi="Times New Roman" w:cs="Times New Roman"/>
          <w:sz w:val="24"/>
          <w:szCs w:val="24"/>
        </w:rPr>
        <w:t xml:space="preserve"> manner—a certain essence or structure. Put differently, a given </w:t>
      </w:r>
      <w:proofErr w:type="spellStart"/>
      <w:r w:rsidRPr="008A2108">
        <w:rPr>
          <w:rFonts w:ascii="Times New Roman" w:hAnsi="Times New Roman" w:cs="Times New Roman"/>
          <w:sz w:val="24"/>
          <w:szCs w:val="24"/>
        </w:rPr>
        <w:t>processual</w:t>
      </w:r>
      <w:proofErr w:type="spellEnd"/>
      <w:r w:rsidRPr="008A2108">
        <w:rPr>
          <w:rFonts w:ascii="Times New Roman" w:hAnsi="Times New Roman" w:cs="Times New Roman"/>
          <w:sz w:val="24"/>
          <w:szCs w:val="24"/>
        </w:rPr>
        <w:t xml:space="preserve"> structure, or “gesture,” evinces an intrinsic intelligibility</w:t>
      </w:r>
      <w:r w:rsidR="00FE64CC">
        <w:rPr>
          <w:rFonts w:ascii="Times New Roman" w:hAnsi="Times New Roman" w:cs="Times New Roman"/>
          <w:sz w:val="24"/>
          <w:szCs w:val="24"/>
        </w:rPr>
        <w:t>.</w:t>
      </w:r>
      <w:r w:rsidR="00FE64CC">
        <w:rPr>
          <w:rStyle w:val="FootnoteReference"/>
          <w:rFonts w:ascii="Times New Roman" w:hAnsi="Times New Roman" w:cs="Times New Roman"/>
          <w:sz w:val="24"/>
          <w:szCs w:val="24"/>
        </w:rPr>
        <w:footnoteReference w:id="43"/>
      </w:r>
      <w:r w:rsidRPr="008A2108">
        <w:rPr>
          <w:rFonts w:ascii="Times New Roman" w:hAnsi="Times New Roman" w:cs="Times New Roman"/>
          <w:sz w:val="24"/>
          <w:szCs w:val="24"/>
        </w:rPr>
        <w:t xml:space="preserve"> In this way, the “habit” of the knowing body generates meaning. </w:t>
      </w:r>
      <w:proofErr w:type="spellStart"/>
      <w:r w:rsidRPr="008A2108">
        <w:rPr>
          <w:rFonts w:ascii="Times New Roman" w:hAnsi="Times New Roman" w:cs="Times New Roman"/>
          <w:sz w:val="24"/>
          <w:szCs w:val="24"/>
        </w:rPr>
        <w:t>Merleau</w:t>
      </w:r>
      <w:proofErr w:type="spellEnd"/>
      <w:r w:rsidRPr="008A2108">
        <w:rPr>
          <w:rFonts w:ascii="Times New Roman" w:hAnsi="Times New Roman" w:cs="Times New Roman"/>
          <w:sz w:val="24"/>
          <w:szCs w:val="24"/>
        </w:rPr>
        <w:t>-</w:t>
      </w:r>
      <w:proofErr w:type="spellStart"/>
      <w:r w:rsidRPr="008A2108">
        <w:rPr>
          <w:rFonts w:ascii="Times New Roman" w:hAnsi="Times New Roman" w:cs="Times New Roman"/>
          <w:sz w:val="24"/>
          <w:szCs w:val="24"/>
        </w:rPr>
        <w:t>Ponty</w:t>
      </w:r>
      <w:proofErr w:type="spellEnd"/>
      <w:r w:rsidRPr="008A2108">
        <w:rPr>
          <w:rFonts w:ascii="Times New Roman" w:hAnsi="Times New Roman" w:cs="Times New Roman"/>
          <w:sz w:val="24"/>
          <w:szCs w:val="24"/>
        </w:rPr>
        <w:t xml:space="preserve"> in fact holds behavior-as-form to be an irreducible phenomenon—not to be divided, for example, into those gestures which produce intentional meanings and those which “merely” satisfy material need</w:t>
      </w:r>
      <w:r w:rsidR="000D3087">
        <w:rPr>
          <w:rFonts w:ascii="Times New Roman" w:hAnsi="Times New Roman" w:cs="Times New Roman"/>
          <w:sz w:val="24"/>
          <w:szCs w:val="24"/>
        </w:rPr>
        <w:t>.</w:t>
      </w:r>
      <w:r w:rsidR="000D3087">
        <w:rPr>
          <w:rStyle w:val="FootnoteReference"/>
          <w:rFonts w:ascii="Times New Roman" w:hAnsi="Times New Roman" w:cs="Times New Roman"/>
          <w:sz w:val="24"/>
          <w:szCs w:val="24"/>
        </w:rPr>
        <w:footnoteReference w:id="44"/>
      </w:r>
      <w:r w:rsidRPr="008A2108">
        <w:rPr>
          <w:rFonts w:ascii="Times New Roman" w:hAnsi="Times New Roman" w:cs="Times New Roman"/>
          <w:sz w:val="24"/>
          <w:szCs w:val="24"/>
        </w:rPr>
        <w:t xml:space="preserve"> As Dillard-Wright puts it, “[b]</w:t>
      </w:r>
      <w:proofErr w:type="spellStart"/>
      <w:r w:rsidRPr="008A2108">
        <w:rPr>
          <w:rFonts w:ascii="Times New Roman" w:hAnsi="Times New Roman" w:cs="Times New Roman"/>
          <w:sz w:val="24"/>
          <w:szCs w:val="24"/>
        </w:rPr>
        <w:t>ehavior</w:t>
      </w:r>
      <w:proofErr w:type="spellEnd"/>
      <w:r w:rsidRPr="008A2108">
        <w:rPr>
          <w:rFonts w:ascii="Times New Roman" w:hAnsi="Times New Roman" w:cs="Times New Roman"/>
          <w:sz w:val="24"/>
          <w:szCs w:val="24"/>
        </w:rPr>
        <w:t xml:space="preserve">, whether at the animal or human level, . . . has its unity and coherence in meaning itself, a ‘coordination by </w:t>
      </w:r>
      <w:r w:rsidRPr="008A2108">
        <w:rPr>
          <w:rFonts w:ascii="Times New Roman" w:hAnsi="Times New Roman" w:cs="Times New Roman"/>
          <w:i/>
          <w:sz w:val="24"/>
          <w:szCs w:val="24"/>
        </w:rPr>
        <w:t>meaning</w:t>
      </w:r>
      <w:r w:rsidRPr="008A2108">
        <w:rPr>
          <w:rFonts w:ascii="Times New Roman" w:hAnsi="Times New Roman" w:cs="Times New Roman"/>
          <w:sz w:val="24"/>
          <w:szCs w:val="24"/>
        </w:rPr>
        <w:t>’ that becomes visible when the organism adapts to new circumstances</w:t>
      </w:r>
      <w:r w:rsidR="000D3087">
        <w:rPr>
          <w:rFonts w:ascii="Times New Roman" w:hAnsi="Times New Roman" w:cs="Times New Roman"/>
          <w:sz w:val="24"/>
          <w:szCs w:val="24"/>
        </w:rPr>
        <w:t>.”</w:t>
      </w:r>
      <w:r w:rsidR="000D3087">
        <w:rPr>
          <w:rStyle w:val="FootnoteReference"/>
          <w:rFonts w:ascii="Times New Roman" w:hAnsi="Times New Roman" w:cs="Times New Roman"/>
          <w:sz w:val="24"/>
          <w:szCs w:val="24"/>
        </w:rPr>
        <w:footnoteReference w:id="45"/>
      </w:r>
      <w:r w:rsidRPr="008A2108">
        <w:rPr>
          <w:rFonts w:ascii="Times New Roman" w:hAnsi="Times New Roman" w:cs="Times New Roman"/>
          <w:sz w:val="24"/>
          <w:szCs w:val="24"/>
        </w:rPr>
        <w:t xml:space="preserve"> Conversely, we learn when we develop facility in those practices that invite us to recognize the possibility of, and enable us to bring to completion, some arc between available means and desired end</w:t>
      </w:r>
      <w:r w:rsidR="001602CF">
        <w:rPr>
          <w:rFonts w:ascii="Times New Roman" w:hAnsi="Times New Roman" w:cs="Times New Roman"/>
          <w:sz w:val="24"/>
          <w:szCs w:val="24"/>
        </w:rPr>
        <w:t>.</w:t>
      </w:r>
      <w:r w:rsidR="001602CF">
        <w:rPr>
          <w:rStyle w:val="FootnoteReference"/>
          <w:rFonts w:ascii="Times New Roman" w:hAnsi="Times New Roman" w:cs="Times New Roman"/>
          <w:sz w:val="24"/>
          <w:szCs w:val="24"/>
        </w:rPr>
        <w:footnoteReference w:id="46"/>
      </w:r>
      <w:r w:rsidR="001602CF">
        <w:rPr>
          <w:rFonts w:ascii="Times New Roman" w:hAnsi="Times New Roman" w:cs="Times New Roman"/>
          <w:sz w:val="24"/>
          <w:szCs w:val="24"/>
        </w:rPr>
        <w:t xml:space="preserve"> </w:t>
      </w:r>
      <w:r w:rsidRPr="008A2108">
        <w:rPr>
          <w:rFonts w:ascii="Times New Roman" w:hAnsi="Times New Roman" w:cs="Times New Roman"/>
          <w:sz w:val="24"/>
          <w:szCs w:val="24"/>
        </w:rPr>
        <w:t xml:space="preserve"> </w:t>
      </w:r>
    </w:p>
    <w:p w:rsidR="002F17DE" w:rsidRPr="008A2108" w:rsidRDefault="002F17DE" w:rsidP="002413B5">
      <w:pPr>
        <w:spacing w:after="0" w:line="480" w:lineRule="auto"/>
        <w:ind w:firstLine="720"/>
        <w:rPr>
          <w:rFonts w:ascii="Times New Roman" w:hAnsi="Times New Roman" w:cs="Times New Roman"/>
          <w:sz w:val="24"/>
          <w:szCs w:val="24"/>
        </w:rPr>
      </w:pPr>
      <w:r w:rsidRPr="008A2108">
        <w:rPr>
          <w:rFonts w:ascii="Times New Roman" w:hAnsi="Times New Roman" w:cs="Times New Roman"/>
          <w:sz w:val="24"/>
          <w:szCs w:val="24"/>
        </w:rPr>
        <w:t xml:space="preserve">Understood thus, all bodies </w:t>
      </w:r>
      <w:r w:rsidR="006B5E7B">
        <w:rPr>
          <w:rFonts w:ascii="Times New Roman" w:hAnsi="Times New Roman" w:cs="Times New Roman"/>
          <w:sz w:val="24"/>
          <w:szCs w:val="24"/>
        </w:rPr>
        <w:t>that</w:t>
      </w:r>
      <w:r w:rsidRPr="008A2108">
        <w:rPr>
          <w:rFonts w:ascii="Times New Roman" w:hAnsi="Times New Roman" w:cs="Times New Roman"/>
          <w:sz w:val="24"/>
          <w:szCs w:val="24"/>
        </w:rPr>
        <w:t xml:space="preserve"> move themselves, whether human or not, are at least to some degree agential. As David B. Dillard-Wright explains, the body’s integration of the subjective and objective poles creates an irresolvable disjunction within consciousness which is </w:t>
      </w:r>
      <w:r w:rsidRPr="006B5E7B">
        <w:rPr>
          <w:rFonts w:ascii="Times New Roman" w:hAnsi="Times New Roman" w:cs="Times New Roman"/>
          <w:i/>
          <w:sz w:val="24"/>
          <w:szCs w:val="24"/>
        </w:rPr>
        <w:t>per se</w:t>
      </w:r>
      <w:r w:rsidRPr="008A2108">
        <w:rPr>
          <w:rFonts w:ascii="Times New Roman" w:hAnsi="Times New Roman" w:cs="Times New Roman"/>
          <w:sz w:val="24"/>
          <w:szCs w:val="24"/>
        </w:rPr>
        <w:t xml:space="preserve"> generative. While my own embodiment enables knowledge of others as embodied, I can also withdraw “into the perspective from ‘above’” so as to reflect on others.  </w:t>
      </w:r>
    </w:p>
    <w:p w:rsidR="002F17DE" w:rsidRPr="008A2108" w:rsidRDefault="002F17DE" w:rsidP="00AC14D1">
      <w:pPr>
        <w:spacing w:after="0" w:line="276" w:lineRule="auto"/>
        <w:ind w:left="720"/>
        <w:rPr>
          <w:rFonts w:ascii="Times New Roman" w:hAnsi="Times New Roman" w:cs="Times New Roman"/>
          <w:sz w:val="24"/>
          <w:szCs w:val="24"/>
        </w:rPr>
      </w:pPr>
      <w:r w:rsidRPr="008A2108">
        <w:rPr>
          <w:rFonts w:ascii="Times New Roman" w:hAnsi="Times New Roman" w:cs="Times New Roman"/>
          <w:sz w:val="24"/>
          <w:szCs w:val="24"/>
        </w:rPr>
        <w:lastRenderedPageBreak/>
        <w:t>The imagination produces a virtual body derived from the actual body which explores potential actions, some actually undertaken. Toggling back and forth between the real and the virtual characterizes normal experience, and, without the virtual facets of consciousness, it would be impossible to undertake any meaningful or creative activity or to sympathize with other people or animals. The virtual body generates a nexus of possibility, a phenomenal catalogue of potential actions</w:t>
      </w:r>
      <w:r w:rsidR="006E3813">
        <w:rPr>
          <w:rFonts w:ascii="Times New Roman" w:hAnsi="Times New Roman" w:cs="Times New Roman"/>
          <w:sz w:val="24"/>
          <w:szCs w:val="24"/>
        </w:rPr>
        <w:t>.</w:t>
      </w:r>
      <w:r w:rsidR="006E3813">
        <w:rPr>
          <w:rStyle w:val="FootnoteReference"/>
          <w:rFonts w:ascii="Times New Roman" w:hAnsi="Times New Roman" w:cs="Times New Roman"/>
          <w:sz w:val="24"/>
          <w:szCs w:val="24"/>
        </w:rPr>
        <w:footnoteReference w:id="47"/>
      </w:r>
    </w:p>
    <w:p w:rsidR="00AC14D1" w:rsidRDefault="00AC14D1" w:rsidP="00AC14D1">
      <w:pPr>
        <w:spacing w:after="0" w:line="240" w:lineRule="auto"/>
        <w:rPr>
          <w:rFonts w:ascii="Times New Roman" w:hAnsi="Times New Roman" w:cs="Times New Roman"/>
          <w:sz w:val="24"/>
          <w:szCs w:val="24"/>
        </w:rPr>
      </w:pPr>
    </w:p>
    <w:p w:rsidR="002F17DE" w:rsidRPr="008A2108" w:rsidRDefault="002F17DE" w:rsidP="00AC14D1">
      <w:pPr>
        <w:spacing w:after="0" w:line="480" w:lineRule="auto"/>
        <w:rPr>
          <w:b/>
        </w:rPr>
      </w:pPr>
      <w:r w:rsidRPr="008A2108">
        <w:rPr>
          <w:rFonts w:ascii="Times New Roman" w:hAnsi="Times New Roman" w:cs="Times New Roman"/>
          <w:sz w:val="24"/>
          <w:szCs w:val="24"/>
        </w:rPr>
        <w:t>Accordingly, every animal possesses at least some agency in the sense of an “existential freedom, loosely defined, that enables animals to make choices and engage in actions that do not necessarily conform to their species-specific behaviors”—a “freedom to produce and transform one’s own world</w:t>
      </w:r>
      <w:r w:rsidR="006E3813">
        <w:rPr>
          <w:rFonts w:ascii="Times New Roman" w:hAnsi="Times New Roman" w:cs="Times New Roman"/>
          <w:sz w:val="24"/>
          <w:szCs w:val="24"/>
        </w:rPr>
        <w:t>.</w:t>
      </w:r>
      <w:r w:rsidRPr="008A2108">
        <w:rPr>
          <w:rFonts w:ascii="Times New Roman" w:hAnsi="Times New Roman" w:cs="Times New Roman"/>
          <w:sz w:val="24"/>
          <w:szCs w:val="24"/>
        </w:rPr>
        <w:t>”</w:t>
      </w:r>
      <w:r w:rsidR="006E3813">
        <w:rPr>
          <w:rStyle w:val="FootnoteReference"/>
          <w:rFonts w:ascii="Times New Roman" w:hAnsi="Times New Roman" w:cs="Times New Roman"/>
          <w:sz w:val="24"/>
          <w:szCs w:val="24"/>
        </w:rPr>
        <w:footnoteReference w:id="48"/>
      </w:r>
      <w:r w:rsidRPr="008A2108">
        <w:rPr>
          <w:rFonts w:ascii="Times New Roman" w:hAnsi="Times New Roman" w:cs="Times New Roman"/>
          <w:sz w:val="24"/>
          <w:szCs w:val="24"/>
        </w:rPr>
        <w:t xml:space="preserve">  Such an agency implies an irreducibly idiosyncratic mode of behavior</w:t>
      </w:r>
      <w:r w:rsidR="006E3813">
        <w:rPr>
          <w:rFonts w:ascii="Times New Roman" w:hAnsi="Times New Roman" w:cs="Times New Roman"/>
          <w:sz w:val="24"/>
          <w:szCs w:val="24"/>
        </w:rPr>
        <w:t>.</w:t>
      </w:r>
      <w:r w:rsidR="006E3813">
        <w:rPr>
          <w:rStyle w:val="FootnoteReference"/>
          <w:rFonts w:ascii="Times New Roman" w:hAnsi="Times New Roman" w:cs="Times New Roman"/>
          <w:sz w:val="24"/>
          <w:szCs w:val="24"/>
        </w:rPr>
        <w:footnoteReference w:id="49"/>
      </w:r>
      <w:r w:rsidR="006E3813">
        <w:rPr>
          <w:rFonts w:ascii="Times New Roman" w:hAnsi="Times New Roman" w:cs="Times New Roman"/>
          <w:sz w:val="24"/>
          <w:szCs w:val="24"/>
        </w:rPr>
        <w:t xml:space="preserve"> </w:t>
      </w:r>
      <w:r w:rsidRPr="008A2108">
        <w:rPr>
          <w:rFonts w:ascii="Times New Roman" w:hAnsi="Times New Roman" w:cs="Times New Roman"/>
          <w:sz w:val="24"/>
          <w:szCs w:val="24"/>
        </w:rPr>
        <w:t xml:space="preserve"> </w:t>
      </w:r>
    </w:p>
    <w:p w:rsidR="002F17DE" w:rsidRPr="008A2108" w:rsidRDefault="002F17DE" w:rsidP="002413B5">
      <w:pPr>
        <w:spacing w:after="0" w:line="480" w:lineRule="auto"/>
        <w:ind w:firstLine="720"/>
        <w:rPr>
          <w:rFonts w:ascii="Times New Roman" w:hAnsi="Times New Roman" w:cs="Times New Roman"/>
          <w:sz w:val="24"/>
          <w:szCs w:val="24"/>
        </w:rPr>
      </w:pPr>
      <w:r w:rsidRPr="008A2108">
        <w:rPr>
          <w:rFonts w:ascii="Times New Roman" w:hAnsi="Times New Roman" w:cs="Times New Roman"/>
          <w:sz w:val="24"/>
          <w:szCs w:val="24"/>
        </w:rPr>
        <w:t>In sum, the animal body possesses an “</w:t>
      </w:r>
      <w:proofErr w:type="spellStart"/>
      <w:r w:rsidRPr="008A2108">
        <w:rPr>
          <w:rFonts w:ascii="Times New Roman" w:hAnsi="Times New Roman" w:cs="Times New Roman"/>
          <w:sz w:val="24"/>
          <w:szCs w:val="24"/>
        </w:rPr>
        <w:t>exteroreceptivity</w:t>
      </w:r>
      <w:proofErr w:type="spellEnd"/>
      <w:r w:rsidRPr="008A2108">
        <w:rPr>
          <w:rFonts w:ascii="Times New Roman" w:hAnsi="Times New Roman" w:cs="Times New Roman"/>
          <w:sz w:val="24"/>
          <w:szCs w:val="24"/>
        </w:rPr>
        <w:t xml:space="preserve">” which impels it </w:t>
      </w:r>
      <w:r w:rsidR="006B5E7B">
        <w:rPr>
          <w:rFonts w:ascii="Times New Roman" w:hAnsi="Times New Roman" w:cs="Times New Roman"/>
          <w:sz w:val="24"/>
          <w:szCs w:val="24"/>
        </w:rPr>
        <w:t xml:space="preserve">to </w:t>
      </w:r>
      <w:r w:rsidRPr="008A2108">
        <w:rPr>
          <w:rFonts w:ascii="Times New Roman" w:hAnsi="Times New Roman" w:cs="Times New Roman"/>
          <w:sz w:val="24"/>
          <w:szCs w:val="24"/>
        </w:rPr>
        <w:t>engage with its context. Importantly, such engagement seeks a mutual intelligibility</w:t>
      </w:r>
      <w:r w:rsidR="006E3813">
        <w:rPr>
          <w:rFonts w:ascii="Times New Roman" w:hAnsi="Times New Roman" w:cs="Times New Roman"/>
          <w:sz w:val="24"/>
          <w:szCs w:val="24"/>
        </w:rPr>
        <w:t>.</w:t>
      </w:r>
      <w:r w:rsidR="006E3813">
        <w:rPr>
          <w:rStyle w:val="FootnoteReference"/>
          <w:rFonts w:ascii="Times New Roman" w:hAnsi="Times New Roman" w:cs="Times New Roman"/>
          <w:sz w:val="24"/>
          <w:szCs w:val="24"/>
        </w:rPr>
        <w:footnoteReference w:id="50"/>
      </w:r>
      <w:r w:rsidRPr="008A2108">
        <w:rPr>
          <w:rFonts w:ascii="Times New Roman" w:hAnsi="Times New Roman" w:cs="Times New Roman"/>
          <w:sz w:val="24"/>
          <w:szCs w:val="24"/>
        </w:rPr>
        <w:t xml:space="preserve">  As </w:t>
      </w:r>
      <w:proofErr w:type="spellStart"/>
      <w:r w:rsidRPr="008A2108">
        <w:rPr>
          <w:rFonts w:ascii="Times New Roman" w:hAnsi="Times New Roman" w:cs="Times New Roman"/>
          <w:sz w:val="24"/>
          <w:szCs w:val="24"/>
        </w:rPr>
        <w:t>Merleau</w:t>
      </w:r>
      <w:proofErr w:type="spellEnd"/>
      <w:r w:rsidRPr="008A2108">
        <w:rPr>
          <w:rFonts w:ascii="Times New Roman" w:hAnsi="Times New Roman" w:cs="Times New Roman"/>
          <w:sz w:val="24"/>
          <w:szCs w:val="24"/>
        </w:rPr>
        <w:t>-</w:t>
      </w:r>
      <w:proofErr w:type="spellStart"/>
      <w:r w:rsidRPr="008A2108">
        <w:rPr>
          <w:rFonts w:ascii="Times New Roman" w:hAnsi="Times New Roman" w:cs="Times New Roman"/>
          <w:sz w:val="24"/>
          <w:szCs w:val="24"/>
        </w:rPr>
        <w:t>Ponty</w:t>
      </w:r>
      <w:proofErr w:type="spellEnd"/>
      <w:r w:rsidRPr="008A2108">
        <w:rPr>
          <w:rFonts w:ascii="Times New Roman" w:hAnsi="Times New Roman" w:cs="Times New Roman"/>
          <w:sz w:val="24"/>
          <w:szCs w:val="24"/>
        </w:rPr>
        <w:t xml:space="preserve"> puts it, “[t]o be a consciousness or rather to be an experience is to hold inner communication with the world, the body and other people, to be </w:t>
      </w:r>
      <w:r w:rsidRPr="008A2108">
        <w:rPr>
          <w:rFonts w:ascii="Times New Roman" w:hAnsi="Times New Roman" w:cs="Times New Roman"/>
          <w:i/>
          <w:sz w:val="24"/>
          <w:szCs w:val="24"/>
        </w:rPr>
        <w:t>with</w:t>
      </w:r>
      <w:r w:rsidRPr="008A2108">
        <w:rPr>
          <w:rFonts w:ascii="Times New Roman" w:hAnsi="Times New Roman" w:cs="Times New Roman"/>
          <w:sz w:val="24"/>
          <w:szCs w:val="24"/>
        </w:rPr>
        <w:t xml:space="preserve"> them instead of being beside them</w:t>
      </w:r>
      <w:r w:rsidR="006E3813">
        <w:rPr>
          <w:rFonts w:ascii="Times New Roman" w:hAnsi="Times New Roman" w:cs="Times New Roman"/>
          <w:sz w:val="24"/>
          <w:szCs w:val="24"/>
        </w:rPr>
        <w:t>.</w:t>
      </w:r>
      <w:r w:rsidRPr="008A2108">
        <w:rPr>
          <w:rFonts w:ascii="Times New Roman" w:hAnsi="Times New Roman" w:cs="Times New Roman"/>
          <w:sz w:val="24"/>
          <w:szCs w:val="24"/>
        </w:rPr>
        <w:t>”</w:t>
      </w:r>
      <w:r w:rsidR="006E3813">
        <w:rPr>
          <w:rStyle w:val="FootnoteReference"/>
          <w:rFonts w:ascii="Times New Roman" w:hAnsi="Times New Roman" w:cs="Times New Roman"/>
          <w:sz w:val="24"/>
          <w:szCs w:val="24"/>
        </w:rPr>
        <w:footnoteReference w:id="51"/>
      </w:r>
      <w:r w:rsidRPr="008A2108">
        <w:rPr>
          <w:rFonts w:ascii="Times New Roman" w:hAnsi="Times New Roman" w:cs="Times New Roman"/>
          <w:sz w:val="24"/>
          <w:szCs w:val="24"/>
        </w:rPr>
        <w:t xml:space="preserve"> Such a being-with is a “bipolar phenomenon [through which] I learn to know both myself and others. . . . [it is a question of] making explicit my experience, and also his experience as it is conveyed to me in my own, . . . and to understand one through the other</w:t>
      </w:r>
      <w:r w:rsidR="006E3813">
        <w:rPr>
          <w:rFonts w:ascii="Times New Roman" w:hAnsi="Times New Roman" w:cs="Times New Roman"/>
          <w:sz w:val="24"/>
          <w:szCs w:val="24"/>
        </w:rPr>
        <w:t>.</w:t>
      </w:r>
      <w:r w:rsidRPr="008A2108">
        <w:rPr>
          <w:rFonts w:ascii="Times New Roman" w:hAnsi="Times New Roman" w:cs="Times New Roman"/>
          <w:sz w:val="24"/>
          <w:szCs w:val="24"/>
        </w:rPr>
        <w:t>”</w:t>
      </w:r>
      <w:r w:rsidR="006E3813">
        <w:rPr>
          <w:rStyle w:val="FootnoteReference"/>
          <w:rFonts w:ascii="Times New Roman" w:hAnsi="Times New Roman" w:cs="Times New Roman"/>
          <w:sz w:val="24"/>
          <w:szCs w:val="24"/>
        </w:rPr>
        <w:footnoteReference w:id="52"/>
      </w:r>
      <w:r w:rsidR="006E3813">
        <w:rPr>
          <w:rFonts w:ascii="Times New Roman" w:hAnsi="Times New Roman" w:cs="Times New Roman"/>
          <w:sz w:val="24"/>
          <w:szCs w:val="24"/>
        </w:rPr>
        <w:t xml:space="preserve"> </w:t>
      </w:r>
      <w:r w:rsidRPr="008A2108">
        <w:rPr>
          <w:rFonts w:ascii="Times New Roman" w:hAnsi="Times New Roman" w:cs="Times New Roman"/>
          <w:sz w:val="24"/>
          <w:szCs w:val="24"/>
        </w:rPr>
        <w:t xml:space="preserve"> </w:t>
      </w:r>
    </w:p>
    <w:p w:rsidR="002F17DE" w:rsidRPr="008A2108" w:rsidRDefault="002F17DE" w:rsidP="002413B5">
      <w:pPr>
        <w:spacing w:after="0" w:line="480" w:lineRule="auto"/>
        <w:ind w:firstLine="720"/>
        <w:rPr>
          <w:rFonts w:ascii="Times New Roman" w:hAnsi="Times New Roman" w:cs="Times New Roman"/>
          <w:sz w:val="24"/>
          <w:szCs w:val="24"/>
        </w:rPr>
      </w:pPr>
      <w:r w:rsidRPr="008A2108">
        <w:rPr>
          <w:rFonts w:ascii="Times New Roman" w:hAnsi="Times New Roman" w:cs="Times New Roman"/>
          <w:sz w:val="24"/>
          <w:szCs w:val="24"/>
        </w:rPr>
        <w:t xml:space="preserve">We attain such a being-with through a process of inhabitation. First, we “find others at the intentional origin of their visible behavior”: </w:t>
      </w:r>
    </w:p>
    <w:p w:rsidR="002F17DE" w:rsidRPr="008A2108" w:rsidRDefault="002F17DE" w:rsidP="00AC14D1">
      <w:pPr>
        <w:spacing w:after="0" w:line="276" w:lineRule="auto"/>
        <w:ind w:left="720"/>
        <w:rPr>
          <w:rFonts w:ascii="Times New Roman" w:hAnsi="Times New Roman" w:cs="Times New Roman"/>
          <w:sz w:val="24"/>
          <w:szCs w:val="24"/>
        </w:rPr>
      </w:pPr>
      <w:r w:rsidRPr="008A2108">
        <w:rPr>
          <w:rFonts w:ascii="Times New Roman" w:hAnsi="Times New Roman" w:cs="Times New Roman"/>
          <w:sz w:val="24"/>
          <w:szCs w:val="24"/>
        </w:rPr>
        <w:t xml:space="preserve">The communication or comprehension of gestures comes about through the reciprocity of my intentions and the gestures of others, of my gestures and intentions discernible in the </w:t>
      </w:r>
      <w:r w:rsidRPr="008A2108">
        <w:rPr>
          <w:rFonts w:ascii="Times New Roman" w:hAnsi="Times New Roman" w:cs="Times New Roman"/>
          <w:sz w:val="24"/>
          <w:szCs w:val="24"/>
        </w:rPr>
        <w:lastRenderedPageBreak/>
        <w:t xml:space="preserve">conduct of other people. It is as if the other person’s intention </w:t>
      </w:r>
      <w:r w:rsidRPr="008A2108">
        <w:rPr>
          <w:rFonts w:ascii="Times New Roman" w:hAnsi="Times New Roman" w:cs="Times New Roman"/>
          <w:i/>
          <w:sz w:val="24"/>
          <w:szCs w:val="24"/>
        </w:rPr>
        <w:t xml:space="preserve">inhabited </w:t>
      </w:r>
      <w:r w:rsidRPr="008A2108">
        <w:rPr>
          <w:rFonts w:ascii="Times New Roman" w:hAnsi="Times New Roman" w:cs="Times New Roman"/>
          <w:sz w:val="24"/>
          <w:szCs w:val="24"/>
        </w:rPr>
        <w:t>my body and mine his. The gesture which I witness outlines an intentional object. This object is genuinely present and fully comprehended when the powers of my body adjust themselves to it and overlap it</w:t>
      </w:r>
      <w:r w:rsidR="00AE6E92">
        <w:rPr>
          <w:rFonts w:ascii="Times New Roman" w:hAnsi="Times New Roman" w:cs="Times New Roman"/>
          <w:sz w:val="24"/>
          <w:szCs w:val="24"/>
        </w:rPr>
        <w:t>.</w:t>
      </w:r>
      <w:r w:rsidR="00AE6E92">
        <w:rPr>
          <w:rStyle w:val="FootnoteReference"/>
          <w:rFonts w:ascii="Times New Roman" w:hAnsi="Times New Roman" w:cs="Times New Roman"/>
          <w:sz w:val="24"/>
          <w:szCs w:val="24"/>
        </w:rPr>
        <w:footnoteReference w:id="53"/>
      </w:r>
      <w:r w:rsidRPr="008A2108">
        <w:rPr>
          <w:rFonts w:ascii="Times New Roman" w:hAnsi="Times New Roman" w:cs="Times New Roman"/>
          <w:sz w:val="24"/>
          <w:szCs w:val="24"/>
        </w:rPr>
        <w:t xml:space="preserve"> </w:t>
      </w:r>
    </w:p>
    <w:p w:rsidR="00AC14D1" w:rsidRDefault="00AC14D1" w:rsidP="00AC14D1">
      <w:pPr>
        <w:spacing w:after="0" w:line="240" w:lineRule="auto"/>
        <w:rPr>
          <w:rFonts w:ascii="Times New Roman" w:hAnsi="Times New Roman" w:cs="Times New Roman"/>
          <w:sz w:val="24"/>
          <w:szCs w:val="24"/>
        </w:rPr>
      </w:pPr>
    </w:p>
    <w:p w:rsidR="002F17DE" w:rsidRPr="008A2108" w:rsidRDefault="002F17DE" w:rsidP="00AC14D1">
      <w:pPr>
        <w:spacing w:after="0" w:line="480" w:lineRule="auto"/>
        <w:rPr>
          <w:rFonts w:ascii="Times New Roman" w:hAnsi="Times New Roman" w:cs="Times New Roman"/>
          <w:sz w:val="24"/>
          <w:szCs w:val="24"/>
        </w:rPr>
      </w:pPr>
      <w:r w:rsidRPr="008A2108">
        <w:rPr>
          <w:rFonts w:ascii="Times New Roman" w:hAnsi="Times New Roman" w:cs="Times New Roman"/>
          <w:sz w:val="24"/>
          <w:szCs w:val="24"/>
        </w:rPr>
        <w:t>In other words, we understand the other by taking up its intentional structure, in the sense of its own observable mode of existence</w:t>
      </w:r>
      <w:r w:rsidR="00AE6E92">
        <w:rPr>
          <w:rFonts w:ascii="Times New Roman" w:hAnsi="Times New Roman" w:cs="Times New Roman"/>
          <w:sz w:val="24"/>
          <w:szCs w:val="24"/>
        </w:rPr>
        <w:t>.</w:t>
      </w:r>
      <w:r w:rsidR="00AE6E92">
        <w:rPr>
          <w:rStyle w:val="FootnoteReference"/>
          <w:rFonts w:ascii="Times New Roman" w:hAnsi="Times New Roman" w:cs="Times New Roman"/>
          <w:sz w:val="24"/>
          <w:szCs w:val="24"/>
        </w:rPr>
        <w:footnoteReference w:id="54"/>
      </w:r>
      <w:r w:rsidRPr="008A2108">
        <w:rPr>
          <w:rFonts w:ascii="Times New Roman" w:hAnsi="Times New Roman" w:cs="Times New Roman"/>
          <w:sz w:val="24"/>
          <w:szCs w:val="24"/>
        </w:rPr>
        <w:t xml:space="preserve"> The second step occurs when I compare the two intentional structures, and perceive the other’s intentions in my own body. As </w:t>
      </w:r>
      <w:proofErr w:type="spellStart"/>
      <w:r w:rsidRPr="008A2108">
        <w:rPr>
          <w:rFonts w:ascii="Times New Roman" w:hAnsi="Times New Roman" w:cs="Times New Roman"/>
          <w:sz w:val="24"/>
          <w:szCs w:val="24"/>
        </w:rPr>
        <w:t>Merleau</w:t>
      </w:r>
      <w:proofErr w:type="spellEnd"/>
      <w:r w:rsidRPr="008A2108">
        <w:rPr>
          <w:rFonts w:ascii="Times New Roman" w:hAnsi="Times New Roman" w:cs="Times New Roman"/>
          <w:sz w:val="24"/>
          <w:szCs w:val="24"/>
        </w:rPr>
        <w:t>-</w:t>
      </w:r>
      <w:proofErr w:type="spellStart"/>
      <w:r w:rsidRPr="008A2108">
        <w:rPr>
          <w:rFonts w:ascii="Times New Roman" w:hAnsi="Times New Roman" w:cs="Times New Roman"/>
          <w:sz w:val="24"/>
          <w:szCs w:val="24"/>
        </w:rPr>
        <w:t>Ponty</w:t>
      </w:r>
      <w:proofErr w:type="spellEnd"/>
      <w:r w:rsidRPr="008A2108">
        <w:rPr>
          <w:rFonts w:ascii="Times New Roman" w:hAnsi="Times New Roman" w:cs="Times New Roman"/>
          <w:sz w:val="24"/>
          <w:szCs w:val="24"/>
        </w:rPr>
        <w:t xml:space="preserve"> describes: </w:t>
      </w:r>
    </w:p>
    <w:p w:rsidR="002F17DE" w:rsidRPr="008A2108" w:rsidRDefault="002F17DE" w:rsidP="00AC14D1">
      <w:pPr>
        <w:spacing w:after="0" w:line="276" w:lineRule="auto"/>
        <w:ind w:left="720"/>
        <w:rPr>
          <w:rFonts w:ascii="Times New Roman" w:hAnsi="Times New Roman" w:cs="Times New Roman"/>
          <w:sz w:val="24"/>
          <w:szCs w:val="24"/>
        </w:rPr>
      </w:pPr>
      <w:r w:rsidRPr="008A2108">
        <w:rPr>
          <w:rFonts w:ascii="Times New Roman" w:hAnsi="Times New Roman" w:cs="Times New Roman"/>
          <w:sz w:val="24"/>
          <w:szCs w:val="24"/>
        </w:rPr>
        <w:t xml:space="preserve">A baby of fifteen months opens its mouth if I playfully take one of its fingers between my teeth and pretend to bite it. And yet it has scarcely looked at its face in a glass, and its teeth are not in any case like mine. The fact is that its own mouth and teeth, as it feels them from the inside, are immediately, for it, an apparatus to bite with, and my jaw, as the baby sees it from the outside, is immediately for it, capable of the same intentions. ‘Biting’ has immediately, for it, an </w:t>
      </w:r>
      <w:proofErr w:type="spellStart"/>
      <w:r w:rsidRPr="008A2108">
        <w:rPr>
          <w:rFonts w:ascii="Times New Roman" w:hAnsi="Times New Roman" w:cs="Times New Roman"/>
          <w:sz w:val="24"/>
          <w:szCs w:val="24"/>
        </w:rPr>
        <w:t>intersubjective</w:t>
      </w:r>
      <w:proofErr w:type="spellEnd"/>
      <w:r w:rsidRPr="008A2108">
        <w:rPr>
          <w:rFonts w:ascii="Times New Roman" w:hAnsi="Times New Roman" w:cs="Times New Roman"/>
          <w:sz w:val="24"/>
          <w:szCs w:val="24"/>
        </w:rPr>
        <w:t xml:space="preserve"> significance. It perceives its intentions in its body, and my body with its own, and thereby my intentions in its own body.</w:t>
      </w:r>
      <w:r w:rsidR="00AE6E92">
        <w:rPr>
          <w:rStyle w:val="FootnoteReference"/>
          <w:rFonts w:ascii="Times New Roman" w:hAnsi="Times New Roman" w:cs="Times New Roman"/>
          <w:sz w:val="24"/>
          <w:szCs w:val="24"/>
        </w:rPr>
        <w:footnoteReference w:id="55"/>
      </w:r>
      <w:r w:rsidRPr="008A2108">
        <w:rPr>
          <w:rFonts w:ascii="Times New Roman" w:hAnsi="Times New Roman" w:cs="Times New Roman"/>
          <w:sz w:val="24"/>
          <w:szCs w:val="24"/>
        </w:rPr>
        <w:tab/>
      </w:r>
    </w:p>
    <w:p w:rsidR="00AC14D1" w:rsidRDefault="00AC14D1" w:rsidP="00AC14D1">
      <w:pPr>
        <w:spacing w:after="0" w:line="240" w:lineRule="auto"/>
        <w:rPr>
          <w:rFonts w:ascii="Times New Roman" w:hAnsi="Times New Roman" w:cs="Times New Roman"/>
          <w:sz w:val="24"/>
          <w:szCs w:val="24"/>
        </w:rPr>
      </w:pPr>
    </w:p>
    <w:p w:rsidR="002F17DE" w:rsidRPr="008A2108" w:rsidRDefault="002F17DE" w:rsidP="00AC14D1">
      <w:pPr>
        <w:spacing w:after="0" w:line="480" w:lineRule="auto"/>
        <w:rPr>
          <w:rFonts w:ascii="Times New Roman" w:hAnsi="Times New Roman" w:cs="Times New Roman"/>
          <w:sz w:val="24"/>
          <w:szCs w:val="24"/>
        </w:rPr>
      </w:pPr>
      <w:r w:rsidRPr="008A2108">
        <w:rPr>
          <w:rFonts w:ascii="Times New Roman" w:hAnsi="Times New Roman" w:cs="Times New Roman"/>
          <w:sz w:val="24"/>
          <w:szCs w:val="24"/>
        </w:rPr>
        <w:t>Hence, between my own consciousness and my observation of the other’s consciousness in motion, there is an internal relation which frames the other as the completion of the system, such that the parts of my body and of the other’s body make up one whole, an “</w:t>
      </w:r>
      <w:proofErr w:type="spellStart"/>
      <w:r w:rsidRPr="008A2108">
        <w:rPr>
          <w:rFonts w:ascii="Times New Roman" w:hAnsi="Times New Roman" w:cs="Times New Roman"/>
          <w:sz w:val="24"/>
          <w:szCs w:val="24"/>
        </w:rPr>
        <w:t>interworld</w:t>
      </w:r>
      <w:proofErr w:type="spellEnd"/>
      <w:r w:rsidR="00AE6E92">
        <w:rPr>
          <w:rFonts w:ascii="Times New Roman" w:hAnsi="Times New Roman" w:cs="Times New Roman"/>
          <w:sz w:val="24"/>
          <w:szCs w:val="24"/>
        </w:rPr>
        <w:t>.</w:t>
      </w:r>
      <w:r w:rsidRPr="008A2108">
        <w:rPr>
          <w:rFonts w:ascii="Times New Roman" w:hAnsi="Times New Roman" w:cs="Times New Roman"/>
          <w:sz w:val="24"/>
          <w:szCs w:val="24"/>
        </w:rPr>
        <w:t>”</w:t>
      </w:r>
      <w:r w:rsidR="00AE6E92">
        <w:rPr>
          <w:rStyle w:val="FootnoteReference"/>
          <w:rFonts w:ascii="Times New Roman" w:hAnsi="Times New Roman" w:cs="Times New Roman"/>
          <w:sz w:val="24"/>
          <w:szCs w:val="24"/>
        </w:rPr>
        <w:footnoteReference w:id="56"/>
      </w:r>
      <w:r w:rsidRPr="008A2108">
        <w:rPr>
          <w:rFonts w:ascii="Times New Roman" w:hAnsi="Times New Roman" w:cs="Times New Roman"/>
          <w:sz w:val="24"/>
          <w:szCs w:val="24"/>
        </w:rPr>
        <w:t xml:space="preserve"> For example, even a mere gesture of impatience from a stranger will allow me to access something of his thoughts. On the other hand, “if both of us withdraw into the core of our thinking nature . . . [such that] each of us feels his actions to be not taken up and understood, but [merely] observed,” “the other’s gaze transforms me into an object, and mine him</w:t>
      </w:r>
      <w:r w:rsidR="00AE6E92">
        <w:rPr>
          <w:rFonts w:ascii="Times New Roman" w:hAnsi="Times New Roman" w:cs="Times New Roman"/>
          <w:sz w:val="24"/>
          <w:szCs w:val="24"/>
        </w:rPr>
        <w:t>.</w:t>
      </w:r>
      <w:r w:rsidRPr="008A2108">
        <w:rPr>
          <w:rFonts w:ascii="Times New Roman" w:hAnsi="Times New Roman" w:cs="Times New Roman"/>
          <w:sz w:val="24"/>
          <w:szCs w:val="24"/>
        </w:rPr>
        <w:t>”</w:t>
      </w:r>
      <w:r w:rsidR="00AE6E92">
        <w:rPr>
          <w:rStyle w:val="FootnoteReference"/>
          <w:rFonts w:ascii="Times New Roman" w:hAnsi="Times New Roman" w:cs="Times New Roman"/>
          <w:sz w:val="24"/>
          <w:szCs w:val="24"/>
        </w:rPr>
        <w:footnoteReference w:id="57"/>
      </w:r>
      <w:r w:rsidR="00AE6E92">
        <w:rPr>
          <w:rFonts w:ascii="Times New Roman" w:hAnsi="Times New Roman" w:cs="Times New Roman"/>
          <w:sz w:val="24"/>
          <w:szCs w:val="24"/>
        </w:rPr>
        <w:t xml:space="preserve"> </w:t>
      </w:r>
      <w:r w:rsidRPr="008A2108">
        <w:rPr>
          <w:rFonts w:ascii="Times New Roman" w:hAnsi="Times New Roman" w:cs="Times New Roman"/>
          <w:sz w:val="24"/>
          <w:szCs w:val="24"/>
        </w:rPr>
        <w:t xml:space="preserve">  </w:t>
      </w:r>
    </w:p>
    <w:p w:rsidR="002F17DE" w:rsidRDefault="002F17DE" w:rsidP="005F3328">
      <w:pPr>
        <w:spacing w:after="0" w:line="480" w:lineRule="auto"/>
        <w:rPr>
          <w:rFonts w:ascii="Times New Roman" w:hAnsi="Times New Roman" w:cs="Times New Roman"/>
          <w:sz w:val="24"/>
          <w:szCs w:val="24"/>
        </w:rPr>
      </w:pPr>
      <w:r w:rsidRPr="008A2108">
        <w:rPr>
          <w:rFonts w:ascii="Times New Roman" w:hAnsi="Times New Roman" w:cs="Times New Roman"/>
          <w:sz w:val="24"/>
          <w:szCs w:val="24"/>
        </w:rPr>
        <w:tab/>
        <w:t>The knowing body is therefore incomplete, in that its structure impels it to enact some sort of relation with each of the myriad others in its world. First I act, structuring my existence, and then I recognize that same structure in another being</w:t>
      </w:r>
      <w:r w:rsidR="00AE6E92">
        <w:rPr>
          <w:rFonts w:ascii="Times New Roman" w:hAnsi="Times New Roman" w:cs="Times New Roman"/>
          <w:sz w:val="24"/>
          <w:szCs w:val="24"/>
        </w:rPr>
        <w:t>.</w:t>
      </w:r>
      <w:r w:rsidR="00AE6E92">
        <w:rPr>
          <w:rStyle w:val="FootnoteReference"/>
          <w:rFonts w:ascii="Times New Roman" w:hAnsi="Times New Roman" w:cs="Times New Roman"/>
          <w:sz w:val="24"/>
          <w:szCs w:val="24"/>
        </w:rPr>
        <w:footnoteReference w:id="58"/>
      </w:r>
      <w:r w:rsidRPr="008A2108">
        <w:rPr>
          <w:rFonts w:ascii="Times New Roman" w:hAnsi="Times New Roman" w:cs="Times New Roman"/>
          <w:sz w:val="24"/>
          <w:szCs w:val="24"/>
        </w:rPr>
        <w:t xml:space="preserve"> I “synchronize” with it, assimilating </w:t>
      </w:r>
      <w:r w:rsidRPr="008A2108">
        <w:rPr>
          <w:rFonts w:ascii="Times New Roman" w:hAnsi="Times New Roman" w:cs="Times New Roman"/>
          <w:sz w:val="24"/>
          <w:szCs w:val="24"/>
        </w:rPr>
        <w:lastRenderedPageBreak/>
        <w:t>its structure so that the other effectively reorders my own being</w:t>
      </w:r>
      <w:r w:rsidR="00AE6E92">
        <w:rPr>
          <w:rFonts w:ascii="Times New Roman" w:hAnsi="Times New Roman" w:cs="Times New Roman"/>
          <w:sz w:val="24"/>
          <w:szCs w:val="24"/>
        </w:rPr>
        <w:t>.</w:t>
      </w:r>
      <w:r w:rsidR="00AE6E92">
        <w:rPr>
          <w:rStyle w:val="FootnoteReference"/>
          <w:rFonts w:ascii="Times New Roman" w:hAnsi="Times New Roman" w:cs="Times New Roman"/>
          <w:sz w:val="24"/>
          <w:szCs w:val="24"/>
        </w:rPr>
        <w:footnoteReference w:id="59"/>
      </w:r>
      <w:r w:rsidRPr="008A2108">
        <w:rPr>
          <w:rFonts w:ascii="Times New Roman" w:hAnsi="Times New Roman" w:cs="Times New Roman"/>
          <w:sz w:val="24"/>
          <w:szCs w:val="24"/>
        </w:rPr>
        <w:t xml:space="preserve"> We can regard this reciprocity between presence to oneself and to the world as an </w:t>
      </w:r>
      <w:proofErr w:type="spellStart"/>
      <w:r w:rsidRPr="008A2108">
        <w:rPr>
          <w:rFonts w:ascii="Times New Roman" w:hAnsi="Times New Roman" w:cs="Times New Roman"/>
          <w:sz w:val="24"/>
          <w:szCs w:val="24"/>
        </w:rPr>
        <w:t>intercorporeal</w:t>
      </w:r>
      <w:proofErr w:type="spellEnd"/>
      <w:r w:rsidRPr="008A2108">
        <w:rPr>
          <w:rFonts w:ascii="Times New Roman" w:hAnsi="Times New Roman" w:cs="Times New Roman"/>
          <w:sz w:val="24"/>
          <w:szCs w:val="24"/>
        </w:rPr>
        <w:t xml:space="preserve"> communion between self and other which tends to deepen over time. On this account, the very structure of animate being tends toward such communion—to enter into relation so as to understand the other, and to grow in understanding so as to be in even closer relation. </w:t>
      </w:r>
    </w:p>
    <w:p w:rsidR="005F3328" w:rsidRPr="008A2108" w:rsidRDefault="005F3328" w:rsidP="005F3328">
      <w:pPr>
        <w:spacing w:after="0" w:line="240" w:lineRule="auto"/>
        <w:rPr>
          <w:rFonts w:ascii="Times New Roman" w:hAnsi="Times New Roman" w:cs="Times New Roman"/>
          <w:sz w:val="24"/>
          <w:szCs w:val="24"/>
        </w:rPr>
      </w:pPr>
    </w:p>
    <w:p w:rsidR="002F17DE" w:rsidRDefault="002F17DE" w:rsidP="005F3328">
      <w:pPr>
        <w:spacing w:after="0" w:line="240" w:lineRule="auto"/>
        <w:rPr>
          <w:rFonts w:ascii="Times New Roman" w:hAnsi="Times New Roman" w:cs="Times New Roman"/>
          <w:b/>
          <w:sz w:val="24"/>
          <w:szCs w:val="24"/>
        </w:rPr>
      </w:pPr>
      <w:r w:rsidRPr="008A2108">
        <w:rPr>
          <w:rFonts w:ascii="Times New Roman" w:hAnsi="Times New Roman" w:cs="Times New Roman"/>
          <w:b/>
          <w:sz w:val="24"/>
          <w:szCs w:val="24"/>
        </w:rPr>
        <w:t>Shapiro’s</w:t>
      </w:r>
      <w:r w:rsidR="005A3AD2">
        <w:rPr>
          <w:rFonts w:ascii="Times New Roman" w:hAnsi="Times New Roman" w:cs="Times New Roman"/>
          <w:b/>
          <w:sz w:val="24"/>
          <w:szCs w:val="24"/>
        </w:rPr>
        <w:t xml:space="preserve"> K</w:t>
      </w:r>
      <w:r w:rsidRPr="008A2108">
        <w:rPr>
          <w:rFonts w:ascii="Times New Roman" w:hAnsi="Times New Roman" w:cs="Times New Roman"/>
          <w:b/>
          <w:sz w:val="24"/>
          <w:szCs w:val="24"/>
        </w:rPr>
        <w:t xml:space="preserve">inesthetic </w:t>
      </w:r>
      <w:r w:rsidR="005A3AD2">
        <w:rPr>
          <w:rFonts w:ascii="Times New Roman" w:hAnsi="Times New Roman" w:cs="Times New Roman"/>
          <w:b/>
          <w:sz w:val="24"/>
          <w:szCs w:val="24"/>
        </w:rPr>
        <w:t>E</w:t>
      </w:r>
      <w:r w:rsidRPr="008A2108">
        <w:rPr>
          <w:rFonts w:ascii="Times New Roman" w:hAnsi="Times New Roman" w:cs="Times New Roman"/>
          <w:b/>
          <w:sz w:val="24"/>
          <w:szCs w:val="24"/>
        </w:rPr>
        <w:t xml:space="preserve">mpathy </w:t>
      </w:r>
      <w:r w:rsidR="005A3AD2">
        <w:rPr>
          <w:rFonts w:ascii="Times New Roman" w:hAnsi="Times New Roman" w:cs="Times New Roman"/>
          <w:b/>
          <w:sz w:val="24"/>
          <w:szCs w:val="24"/>
        </w:rPr>
        <w:t>B</w:t>
      </w:r>
      <w:r w:rsidRPr="008A2108">
        <w:rPr>
          <w:rFonts w:ascii="Times New Roman" w:hAnsi="Times New Roman" w:cs="Times New Roman"/>
          <w:b/>
          <w:sz w:val="24"/>
          <w:szCs w:val="24"/>
        </w:rPr>
        <w:t xml:space="preserve">ridges </w:t>
      </w:r>
      <w:r w:rsidR="005A3AD2">
        <w:rPr>
          <w:rFonts w:ascii="Times New Roman" w:hAnsi="Times New Roman" w:cs="Times New Roman"/>
          <w:b/>
          <w:sz w:val="24"/>
          <w:szCs w:val="24"/>
        </w:rPr>
        <w:t>H</w:t>
      </w:r>
      <w:r w:rsidRPr="008A2108">
        <w:rPr>
          <w:rFonts w:ascii="Times New Roman" w:hAnsi="Times New Roman" w:cs="Times New Roman"/>
          <w:b/>
          <w:sz w:val="24"/>
          <w:szCs w:val="24"/>
        </w:rPr>
        <w:t xml:space="preserve">uman and </w:t>
      </w:r>
      <w:r w:rsidR="005A3AD2">
        <w:rPr>
          <w:rFonts w:ascii="Times New Roman" w:hAnsi="Times New Roman" w:cs="Times New Roman"/>
          <w:b/>
          <w:sz w:val="24"/>
          <w:szCs w:val="24"/>
        </w:rPr>
        <w:t>A</w:t>
      </w:r>
      <w:r w:rsidRPr="008A2108">
        <w:rPr>
          <w:rFonts w:ascii="Times New Roman" w:hAnsi="Times New Roman" w:cs="Times New Roman"/>
          <w:b/>
          <w:sz w:val="24"/>
          <w:szCs w:val="24"/>
        </w:rPr>
        <w:t xml:space="preserve">nimal </w:t>
      </w:r>
      <w:r w:rsidR="005A3AD2">
        <w:rPr>
          <w:rFonts w:ascii="Times New Roman" w:hAnsi="Times New Roman" w:cs="Times New Roman"/>
          <w:b/>
          <w:sz w:val="24"/>
          <w:szCs w:val="24"/>
        </w:rPr>
        <w:t>B</w:t>
      </w:r>
      <w:r w:rsidRPr="008A2108">
        <w:rPr>
          <w:rFonts w:ascii="Times New Roman" w:hAnsi="Times New Roman" w:cs="Times New Roman"/>
          <w:b/>
          <w:sz w:val="24"/>
          <w:szCs w:val="24"/>
        </w:rPr>
        <w:t xml:space="preserve">eing </w:t>
      </w:r>
    </w:p>
    <w:p w:rsidR="005F3328" w:rsidRPr="008A2108" w:rsidRDefault="005F3328" w:rsidP="005F3328">
      <w:pPr>
        <w:spacing w:after="0" w:line="240" w:lineRule="auto"/>
        <w:rPr>
          <w:rFonts w:ascii="Times New Roman" w:hAnsi="Times New Roman" w:cs="Times New Roman"/>
          <w:b/>
          <w:sz w:val="24"/>
          <w:szCs w:val="24"/>
        </w:rPr>
      </w:pPr>
    </w:p>
    <w:p w:rsidR="002F17DE" w:rsidRPr="008A2108" w:rsidRDefault="002F17DE" w:rsidP="005F3328">
      <w:pPr>
        <w:spacing w:after="0" w:line="480" w:lineRule="auto"/>
        <w:ind w:firstLine="720"/>
        <w:rPr>
          <w:rFonts w:ascii="Times New Roman" w:hAnsi="Times New Roman" w:cs="Times New Roman"/>
          <w:sz w:val="24"/>
          <w:szCs w:val="24"/>
        </w:rPr>
      </w:pPr>
      <w:r w:rsidRPr="008A2108">
        <w:rPr>
          <w:rFonts w:ascii="Times New Roman" w:hAnsi="Times New Roman" w:cs="Times New Roman"/>
          <w:sz w:val="24"/>
          <w:szCs w:val="24"/>
        </w:rPr>
        <w:t xml:space="preserve">Although Shapiro does not deny our frequent construction of animal experience, he sees a </w:t>
      </w:r>
      <w:proofErr w:type="spellStart"/>
      <w:r w:rsidRPr="008A2108">
        <w:rPr>
          <w:rFonts w:ascii="Times New Roman" w:hAnsi="Times New Roman" w:cs="Times New Roman"/>
          <w:sz w:val="24"/>
          <w:szCs w:val="24"/>
        </w:rPr>
        <w:t>Merleau-Pontyan</w:t>
      </w:r>
      <w:proofErr w:type="spellEnd"/>
      <w:r w:rsidRPr="008A2108">
        <w:rPr>
          <w:rFonts w:ascii="Times New Roman" w:hAnsi="Times New Roman" w:cs="Times New Roman"/>
          <w:sz w:val="24"/>
          <w:szCs w:val="24"/>
        </w:rPr>
        <w:t xml:space="preserve"> inhabitation as enabling a “kinesthetic” empathy which uses overlaps in bodily experiencing to bridge human and animal being.</w:t>
      </w:r>
      <w:r w:rsidR="003B64D9">
        <w:rPr>
          <w:rStyle w:val="FootnoteReference"/>
          <w:rFonts w:ascii="Times New Roman" w:hAnsi="Times New Roman" w:cs="Times New Roman"/>
          <w:sz w:val="24"/>
          <w:szCs w:val="24"/>
        </w:rPr>
        <w:footnoteReference w:id="60"/>
      </w:r>
      <w:r w:rsidRPr="008A2108">
        <w:rPr>
          <w:rFonts w:ascii="Times New Roman" w:hAnsi="Times New Roman" w:cs="Times New Roman"/>
          <w:sz w:val="24"/>
          <w:szCs w:val="24"/>
        </w:rPr>
        <w:t xml:space="preserve"> While kinesthetic empathy, as unmediated by Cartesian categories, is a direct apprehension of the animal’s intent and experience; it is neither entire nor pure. It remains, rather, an interpretative act.</w:t>
      </w:r>
      <w:r w:rsidRPr="008A2108">
        <w:rPr>
          <w:rStyle w:val="FootnoteReference"/>
          <w:rFonts w:ascii="Times New Roman" w:hAnsi="Times New Roman" w:cs="Times New Roman"/>
          <w:sz w:val="24"/>
          <w:szCs w:val="24"/>
        </w:rPr>
        <w:footnoteReference w:id="61"/>
      </w:r>
      <w:r w:rsidRPr="008A2108">
        <w:rPr>
          <w:rFonts w:ascii="Times New Roman" w:hAnsi="Times New Roman" w:cs="Times New Roman"/>
          <w:sz w:val="24"/>
          <w:szCs w:val="24"/>
        </w:rPr>
        <w:t xml:space="preserve">  Nor is it able to erase differences, as evident, for example, in the acute attunement common between predator and prey</w:t>
      </w:r>
      <w:r w:rsidR="007D700A">
        <w:rPr>
          <w:rFonts w:ascii="Times New Roman" w:hAnsi="Times New Roman" w:cs="Times New Roman"/>
          <w:sz w:val="24"/>
          <w:szCs w:val="24"/>
        </w:rPr>
        <w:t>.</w:t>
      </w:r>
      <w:r w:rsidR="005A3AD2">
        <w:rPr>
          <w:rStyle w:val="FootnoteReference"/>
          <w:rFonts w:ascii="Times New Roman" w:hAnsi="Times New Roman" w:cs="Times New Roman"/>
          <w:sz w:val="24"/>
          <w:szCs w:val="24"/>
        </w:rPr>
        <w:footnoteReference w:id="62"/>
      </w:r>
      <w:r w:rsidRPr="008A2108">
        <w:rPr>
          <w:rFonts w:ascii="Times New Roman" w:hAnsi="Times New Roman" w:cs="Times New Roman"/>
          <w:sz w:val="24"/>
          <w:szCs w:val="24"/>
        </w:rPr>
        <w:t xml:space="preserve">  </w:t>
      </w:r>
    </w:p>
    <w:p w:rsidR="002F17DE" w:rsidRPr="008A2108" w:rsidRDefault="002F17DE" w:rsidP="00AC14D1">
      <w:pPr>
        <w:spacing w:after="0" w:line="480" w:lineRule="auto"/>
        <w:ind w:firstLine="720"/>
        <w:rPr>
          <w:rFonts w:ascii="Times New Roman" w:hAnsi="Times New Roman" w:cs="Times New Roman"/>
          <w:sz w:val="24"/>
          <w:szCs w:val="24"/>
        </w:rPr>
      </w:pPr>
      <w:r w:rsidRPr="008A2108">
        <w:rPr>
          <w:rFonts w:ascii="Times New Roman" w:hAnsi="Times New Roman" w:cs="Times New Roman"/>
          <w:sz w:val="24"/>
          <w:szCs w:val="24"/>
        </w:rPr>
        <w:t xml:space="preserve">A game of keep-away and chase with Shapiro’s dog </w:t>
      </w:r>
      <w:proofErr w:type="spellStart"/>
      <w:r w:rsidRPr="008A2108">
        <w:rPr>
          <w:rFonts w:ascii="Times New Roman" w:hAnsi="Times New Roman" w:cs="Times New Roman"/>
          <w:sz w:val="24"/>
          <w:szCs w:val="24"/>
        </w:rPr>
        <w:t>Sabaka</w:t>
      </w:r>
      <w:proofErr w:type="spellEnd"/>
      <w:r w:rsidRPr="008A2108">
        <w:rPr>
          <w:rFonts w:ascii="Times New Roman" w:hAnsi="Times New Roman" w:cs="Times New Roman"/>
          <w:sz w:val="24"/>
          <w:szCs w:val="24"/>
        </w:rPr>
        <w:t xml:space="preserve"> serves to illustrate. In this situation, “the invitation ritual, the play itself, the implicit rules and regulations governing the legitimate play area, permitted and prohibited moves, and the object of the game, as well as the conditions ending it, were all quite intricate and yet easily maintained by both players. Even more subtle were the postures, feints, and deceits.” Shapiro clarifies that </w:t>
      </w:r>
    </w:p>
    <w:p w:rsidR="002F17DE" w:rsidRPr="008A2108" w:rsidRDefault="002F17DE" w:rsidP="00AC14D1">
      <w:pPr>
        <w:spacing w:after="0" w:line="276" w:lineRule="auto"/>
        <w:ind w:left="720"/>
        <w:rPr>
          <w:rFonts w:ascii="Times New Roman" w:hAnsi="Times New Roman" w:cs="Times New Roman"/>
          <w:sz w:val="24"/>
          <w:szCs w:val="24"/>
        </w:rPr>
      </w:pPr>
      <w:r w:rsidRPr="008A2108">
        <w:rPr>
          <w:rFonts w:ascii="Times New Roman" w:hAnsi="Times New Roman" w:cs="Times New Roman"/>
          <w:sz w:val="24"/>
          <w:szCs w:val="24"/>
        </w:rPr>
        <w:lastRenderedPageBreak/>
        <w:t>[</w:t>
      </w:r>
      <w:proofErr w:type="spellStart"/>
      <w:r w:rsidRPr="008A2108">
        <w:rPr>
          <w:rFonts w:ascii="Times New Roman" w:hAnsi="Times New Roman" w:cs="Times New Roman"/>
          <w:sz w:val="24"/>
          <w:szCs w:val="24"/>
        </w:rPr>
        <w:t>i</w:t>
      </w:r>
      <w:proofErr w:type="spellEnd"/>
      <w:r w:rsidRPr="008A2108">
        <w:rPr>
          <w:rFonts w:ascii="Times New Roman" w:hAnsi="Times New Roman" w:cs="Times New Roman"/>
          <w:sz w:val="24"/>
          <w:szCs w:val="24"/>
        </w:rPr>
        <w:t>]n the midst of the game, I do not know or anticipate [</w:t>
      </w:r>
      <w:proofErr w:type="spellStart"/>
      <w:r w:rsidRPr="008A2108">
        <w:rPr>
          <w:rFonts w:ascii="Times New Roman" w:hAnsi="Times New Roman" w:cs="Times New Roman"/>
          <w:sz w:val="24"/>
          <w:szCs w:val="24"/>
        </w:rPr>
        <w:t>Sabaka’s</w:t>
      </w:r>
      <w:proofErr w:type="spellEnd"/>
      <w:r w:rsidRPr="008A2108">
        <w:rPr>
          <w:rFonts w:ascii="Times New Roman" w:hAnsi="Times New Roman" w:cs="Times New Roman"/>
          <w:sz w:val="24"/>
          <w:szCs w:val="24"/>
        </w:rPr>
        <w:t>] moves by inference—although if I stepped back I could infer some of them. Rather, I know the potential space of his moves by inhabiting his bodily potentialities and inclinations. I know his moves by empathizing with him in a broad sense of that term that takes ‘feeling with’ to refer to his vital significances, attitudes and point of view</w:t>
      </w:r>
      <w:r w:rsidR="005A3AD2">
        <w:rPr>
          <w:rFonts w:ascii="Times New Roman" w:hAnsi="Times New Roman" w:cs="Times New Roman"/>
          <w:sz w:val="24"/>
          <w:szCs w:val="24"/>
        </w:rPr>
        <w:t>.</w:t>
      </w:r>
      <w:r w:rsidR="005A3AD2">
        <w:rPr>
          <w:rStyle w:val="FootnoteReference"/>
          <w:rFonts w:ascii="Times New Roman" w:hAnsi="Times New Roman" w:cs="Times New Roman"/>
          <w:sz w:val="24"/>
          <w:szCs w:val="24"/>
        </w:rPr>
        <w:footnoteReference w:id="63"/>
      </w:r>
      <w:r w:rsidRPr="008A2108">
        <w:rPr>
          <w:rFonts w:ascii="Times New Roman" w:hAnsi="Times New Roman" w:cs="Times New Roman"/>
          <w:sz w:val="24"/>
          <w:szCs w:val="24"/>
        </w:rPr>
        <w:t xml:space="preserve"> </w:t>
      </w:r>
    </w:p>
    <w:p w:rsidR="00AC14D1" w:rsidRDefault="00AC14D1" w:rsidP="00AC14D1">
      <w:pPr>
        <w:spacing w:after="0" w:line="240" w:lineRule="auto"/>
        <w:rPr>
          <w:rFonts w:ascii="Times New Roman" w:hAnsi="Times New Roman" w:cs="Times New Roman"/>
          <w:sz w:val="24"/>
          <w:szCs w:val="24"/>
        </w:rPr>
      </w:pPr>
    </w:p>
    <w:p w:rsidR="002F17DE" w:rsidRDefault="002F17DE" w:rsidP="00AC14D1">
      <w:pPr>
        <w:spacing w:after="0" w:line="480" w:lineRule="auto"/>
        <w:rPr>
          <w:rFonts w:ascii="Times New Roman" w:hAnsi="Times New Roman" w:cs="Times New Roman"/>
          <w:sz w:val="24"/>
          <w:szCs w:val="24"/>
        </w:rPr>
      </w:pPr>
      <w:r w:rsidRPr="008A2108">
        <w:rPr>
          <w:rFonts w:ascii="Times New Roman" w:hAnsi="Times New Roman" w:cs="Times New Roman"/>
          <w:sz w:val="24"/>
          <w:szCs w:val="24"/>
        </w:rPr>
        <w:t>Kinesthetic empathy is a skill developed through involvement over time, preferably through an extended and participatory relationship with a particular animal.</w:t>
      </w:r>
      <w:r w:rsidR="005A3AD2">
        <w:rPr>
          <w:rStyle w:val="FootnoteReference"/>
          <w:rFonts w:ascii="Times New Roman" w:hAnsi="Times New Roman" w:cs="Times New Roman"/>
          <w:sz w:val="24"/>
          <w:szCs w:val="24"/>
        </w:rPr>
        <w:footnoteReference w:id="64"/>
      </w:r>
      <w:r w:rsidRPr="008A2108">
        <w:rPr>
          <w:rFonts w:ascii="Times New Roman" w:hAnsi="Times New Roman" w:cs="Times New Roman"/>
          <w:sz w:val="24"/>
          <w:szCs w:val="24"/>
        </w:rPr>
        <w:t xml:space="preserve"> </w:t>
      </w:r>
    </w:p>
    <w:p w:rsidR="005F3328" w:rsidRPr="008A2108" w:rsidRDefault="005F3328" w:rsidP="005F3328">
      <w:pPr>
        <w:spacing w:after="0" w:line="240" w:lineRule="auto"/>
        <w:rPr>
          <w:rFonts w:ascii="Times New Roman" w:hAnsi="Times New Roman" w:cs="Times New Roman"/>
          <w:sz w:val="24"/>
          <w:szCs w:val="24"/>
        </w:rPr>
      </w:pPr>
    </w:p>
    <w:p w:rsidR="002F17DE" w:rsidRDefault="002F17DE" w:rsidP="005F3328">
      <w:pPr>
        <w:spacing w:after="0" w:line="240" w:lineRule="auto"/>
        <w:rPr>
          <w:rFonts w:ascii="Times New Roman" w:hAnsi="Times New Roman" w:cs="Times New Roman"/>
          <w:b/>
          <w:sz w:val="24"/>
          <w:szCs w:val="24"/>
        </w:rPr>
      </w:pPr>
      <w:r w:rsidRPr="008A2108">
        <w:rPr>
          <w:rFonts w:ascii="Times New Roman" w:hAnsi="Times New Roman" w:cs="Times New Roman"/>
          <w:b/>
          <w:sz w:val="24"/>
          <w:szCs w:val="24"/>
        </w:rPr>
        <w:t xml:space="preserve">Mutual </w:t>
      </w:r>
      <w:r w:rsidR="005A3AD2">
        <w:rPr>
          <w:rFonts w:ascii="Times New Roman" w:hAnsi="Times New Roman" w:cs="Times New Roman"/>
          <w:b/>
          <w:sz w:val="24"/>
          <w:szCs w:val="24"/>
        </w:rPr>
        <w:t>R</w:t>
      </w:r>
      <w:r w:rsidRPr="008A2108">
        <w:rPr>
          <w:rFonts w:ascii="Times New Roman" w:hAnsi="Times New Roman" w:cs="Times New Roman"/>
          <w:b/>
          <w:sz w:val="24"/>
          <w:szCs w:val="24"/>
        </w:rPr>
        <w:t xml:space="preserve">ecognition of </w:t>
      </w:r>
      <w:r w:rsidR="005A3AD2">
        <w:rPr>
          <w:rFonts w:ascii="Times New Roman" w:hAnsi="Times New Roman" w:cs="Times New Roman"/>
          <w:b/>
          <w:sz w:val="24"/>
          <w:szCs w:val="24"/>
        </w:rPr>
        <w:t>A</w:t>
      </w:r>
      <w:r w:rsidRPr="008A2108">
        <w:rPr>
          <w:rFonts w:ascii="Times New Roman" w:hAnsi="Times New Roman" w:cs="Times New Roman"/>
          <w:b/>
          <w:sz w:val="24"/>
          <w:szCs w:val="24"/>
        </w:rPr>
        <w:t xml:space="preserve">gency is </w:t>
      </w:r>
      <w:r w:rsidR="005A3AD2">
        <w:rPr>
          <w:rFonts w:ascii="Times New Roman" w:hAnsi="Times New Roman" w:cs="Times New Roman"/>
          <w:b/>
          <w:sz w:val="24"/>
          <w:szCs w:val="24"/>
        </w:rPr>
        <w:t>C</w:t>
      </w:r>
      <w:r w:rsidRPr="008A2108">
        <w:rPr>
          <w:rFonts w:ascii="Times New Roman" w:hAnsi="Times New Roman" w:cs="Times New Roman"/>
          <w:b/>
          <w:sz w:val="24"/>
          <w:szCs w:val="24"/>
        </w:rPr>
        <w:t xml:space="preserve">onstitutive of </w:t>
      </w:r>
      <w:r w:rsidR="005F3328">
        <w:rPr>
          <w:rFonts w:ascii="Times New Roman" w:hAnsi="Times New Roman" w:cs="Times New Roman"/>
          <w:b/>
          <w:sz w:val="24"/>
          <w:szCs w:val="24"/>
        </w:rPr>
        <w:t>a</w:t>
      </w:r>
      <w:r w:rsidRPr="008A2108">
        <w:rPr>
          <w:rFonts w:ascii="Times New Roman" w:hAnsi="Times New Roman" w:cs="Times New Roman"/>
          <w:b/>
          <w:sz w:val="24"/>
          <w:szCs w:val="24"/>
        </w:rPr>
        <w:t xml:space="preserve"> </w:t>
      </w:r>
      <w:r w:rsidR="005A3AD2">
        <w:rPr>
          <w:rFonts w:ascii="Times New Roman" w:hAnsi="Times New Roman" w:cs="Times New Roman"/>
          <w:b/>
          <w:sz w:val="24"/>
          <w:szCs w:val="24"/>
        </w:rPr>
        <w:t>C</w:t>
      </w:r>
      <w:r w:rsidRPr="008A2108">
        <w:rPr>
          <w:rFonts w:ascii="Times New Roman" w:hAnsi="Times New Roman" w:cs="Times New Roman"/>
          <w:b/>
          <w:sz w:val="24"/>
          <w:szCs w:val="24"/>
        </w:rPr>
        <w:t xml:space="preserve">ommunion </w:t>
      </w:r>
      <w:r w:rsidR="005F3328">
        <w:rPr>
          <w:rFonts w:ascii="Times New Roman" w:hAnsi="Times New Roman" w:cs="Times New Roman"/>
          <w:b/>
          <w:sz w:val="24"/>
          <w:szCs w:val="24"/>
        </w:rPr>
        <w:t>Whi</w:t>
      </w:r>
      <w:r w:rsidRPr="008A2108">
        <w:rPr>
          <w:rFonts w:ascii="Times New Roman" w:hAnsi="Times New Roman" w:cs="Times New Roman"/>
          <w:b/>
          <w:sz w:val="24"/>
          <w:szCs w:val="24"/>
        </w:rPr>
        <w:t xml:space="preserve">ch </w:t>
      </w:r>
      <w:r w:rsidR="005A3AD2">
        <w:rPr>
          <w:rFonts w:ascii="Times New Roman" w:hAnsi="Times New Roman" w:cs="Times New Roman"/>
          <w:b/>
          <w:sz w:val="24"/>
          <w:szCs w:val="24"/>
        </w:rPr>
        <w:t>S</w:t>
      </w:r>
      <w:r w:rsidRPr="008A2108">
        <w:rPr>
          <w:rFonts w:ascii="Times New Roman" w:hAnsi="Times New Roman" w:cs="Times New Roman"/>
          <w:b/>
          <w:sz w:val="24"/>
          <w:szCs w:val="24"/>
        </w:rPr>
        <w:t>ays “</w:t>
      </w:r>
      <w:r w:rsidR="005A3AD2">
        <w:rPr>
          <w:rFonts w:ascii="Times New Roman" w:hAnsi="Times New Roman" w:cs="Times New Roman"/>
          <w:b/>
          <w:sz w:val="24"/>
          <w:szCs w:val="24"/>
        </w:rPr>
        <w:t>W</w:t>
      </w:r>
      <w:r w:rsidRPr="008A2108">
        <w:rPr>
          <w:rFonts w:ascii="Times New Roman" w:hAnsi="Times New Roman" w:cs="Times New Roman"/>
          <w:b/>
          <w:sz w:val="24"/>
          <w:szCs w:val="24"/>
        </w:rPr>
        <w:t xml:space="preserve">e’re </w:t>
      </w:r>
      <w:r w:rsidR="005A3AD2">
        <w:rPr>
          <w:rFonts w:ascii="Times New Roman" w:hAnsi="Times New Roman" w:cs="Times New Roman"/>
          <w:b/>
          <w:sz w:val="24"/>
          <w:szCs w:val="24"/>
        </w:rPr>
        <w:t>H</w:t>
      </w:r>
      <w:r w:rsidRPr="008A2108">
        <w:rPr>
          <w:rFonts w:ascii="Times New Roman" w:hAnsi="Times New Roman" w:cs="Times New Roman"/>
          <w:b/>
          <w:sz w:val="24"/>
          <w:szCs w:val="24"/>
        </w:rPr>
        <w:t xml:space="preserve">ome” </w:t>
      </w:r>
    </w:p>
    <w:p w:rsidR="005F3328" w:rsidRPr="008A2108" w:rsidRDefault="005F3328" w:rsidP="005F3328">
      <w:pPr>
        <w:spacing w:after="0" w:line="240" w:lineRule="auto"/>
        <w:rPr>
          <w:rFonts w:ascii="Times New Roman" w:hAnsi="Times New Roman" w:cs="Times New Roman"/>
          <w:b/>
          <w:sz w:val="24"/>
          <w:szCs w:val="24"/>
        </w:rPr>
      </w:pPr>
    </w:p>
    <w:p w:rsidR="005C640C" w:rsidRDefault="002F17DE" w:rsidP="005F3328">
      <w:pPr>
        <w:spacing w:after="0" w:line="480" w:lineRule="auto"/>
        <w:ind w:firstLine="720"/>
        <w:rPr>
          <w:rFonts w:ascii="Times New Roman" w:hAnsi="Times New Roman" w:cs="Times New Roman"/>
          <w:sz w:val="24"/>
          <w:szCs w:val="24"/>
        </w:rPr>
      </w:pPr>
      <w:r w:rsidRPr="008A2108">
        <w:rPr>
          <w:rFonts w:ascii="Times New Roman" w:hAnsi="Times New Roman" w:cs="Times New Roman"/>
          <w:sz w:val="24"/>
          <w:szCs w:val="24"/>
        </w:rPr>
        <w:t>While a large body of observations affirm the existence of animal agency, there are multiple reasons why Catholic ethicists might hesitate to acknowledge it.</w:t>
      </w:r>
      <w:r w:rsidR="005C640C">
        <w:rPr>
          <w:rStyle w:val="FootnoteReference"/>
          <w:rFonts w:ascii="Times New Roman" w:hAnsi="Times New Roman" w:cs="Times New Roman"/>
          <w:sz w:val="24"/>
          <w:szCs w:val="24"/>
        </w:rPr>
        <w:footnoteReference w:id="65"/>
      </w:r>
      <w:r w:rsidRPr="008A2108">
        <w:rPr>
          <w:rFonts w:ascii="Times New Roman" w:hAnsi="Times New Roman" w:cs="Times New Roman"/>
          <w:sz w:val="24"/>
          <w:szCs w:val="24"/>
        </w:rPr>
        <w:t xml:space="preserve"> First and most generally, the critical realism that underlies much of contemporary Catholic ethics can tend to overlook those creatures, including most animals, who have been relegated to society’s margins. This is because critical realism assumes, first, that “real” entities will produce causal effects in the world; and second, that we evaluate a given account of reality by testing its adequacy vis-à-vis the actual living of our everyday lives</w:t>
      </w:r>
      <w:r w:rsidR="00854DFC">
        <w:rPr>
          <w:rFonts w:ascii="Times New Roman" w:hAnsi="Times New Roman" w:cs="Times New Roman"/>
          <w:sz w:val="24"/>
          <w:szCs w:val="24"/>
        </w:rPr>
        <w:t>.</w:t>
      </w:r>
      <w:r w:rsidR="001E3AA9">
        <w:rPr>
          <w:rStyle w:val="FootnoteReference"/>
          <w:rFonts w:ascii="Times New Roman" w:hAnsi="Times New Roman" w:cs="Times New Roman"/>
          <w:sz w:val="24"/>
          <w:szCs w:val="24"/>
        </w:rPr>
        <w:footnoteReference w:id="66"/>
      </w:r>
      <w:r w:rsidRPr="008A2108">
        <w:rPr>
          <w:rFonts w:ascii="Times New Roman" w:hAnsi="Times New Roman" w:cs="Times New Roman"/>
          <w:sz w:val="24"/>
          <w:szCs w:val="24"/>
        </w:rPr>
        <w:t xml:space="preserve"> Given animals’ relative social weakness, both assumptions frame them as relatively unimportant. There may be a related reluctance to get too far ahead of conventional views, to answer questions that have not yet been asked, or to acknowledge the desirability of what seems at present to be an unimaginable degree of social change. Another general objection might stem from the ultimate incommensurability of the individual and </w:t>
      </w:r>
      <w:r w:rsidR="00907FAB">
        <w:rPr>
          <w:rFonts w:ascii="Times New Roman" w:hAnsi="Times New Roman" w:cs="Times New Roman"/>
          <w:sz w:val="24"/>
          <w:szCs w:val="24"/>
        </w:rPr>
        <w:t>collectivist</w:t>
      </w:r>
      <w:r w:rsidRPr="008A2108">
        <w:rPr>
          <w:rFonts w:ascii="Times New Roman" w:hAnsi="Times New Roman" w:cs="Times New Roman"/>
          <w:sz w:val="24"/>
          <w:szCs w:val="24"/>
        </w:rPr>
        <w:t xml:space="preserve"> viewpoints, such that </w:t>
      </w:r>
      <w:r w:rsidR="00907FAB">
        <w:rPr>
          <w:rFonts w:ascii="Times New Roman" w:hAnsi="Times New Roman" w:cs="Times New Roman"/>
          <w:sz w:val="24"/>
          <w:szCs w:val="24"/>
        </w:rPr>
        <w:t xml:space="preserve">harder cases may well require the sacrifice of </w:t>
      </w:r>
      <w:r w:rsidR="00907FAB">
        <w:rPr>
          <w:rFonts w:ascii="Times New Roman" w:hAnsi="Times New Roman" w:cs="Times New Roman"/>
          <w:sz w:val="24"/>
          <w:szCs w:val="24"/>
        </w:rPr>
        <w:lastRenderedPageBreak/>
        <w:t>individual animals</w:t>
      </w:r>
      <w:r w:rsidR="001E3AA9">
        <w:rPr>
          <w:rFonts w:ascii="Times New Roman" w:hAnsi="Times New Roman" w:cs="Times New Roman"/>
          <w:sz w:val="24"/>
          <w:szCs w:val="24"/>
        </w:rPr>
        <w:t>.</w:t>
      </w:r>
      <w:r w:rsidR="001E3AA9">
        <w:rPr>
          <w:rStyle w:val="FootnoteReference"/>
          <w:rFonts w:ascii="Times New Roman" w:hAnsi="Times New Roman" w:cs="Times New Roman"/>
          <w:sz w:val="24"/>
          <w:szCs w:val="24"/>
        </w:rPr>
        <w:footnoteReference w:id="67"/>
      </w:r>
      <w:r w:rsidRPr="008A2108">
        <w:rPr>
          <w:rFonts w:ascii="Times New Roman" w:hAnsi="Times New Roman" w:cs="Times New Roman"/>
          <w:sz w:val="24"/>
          <w:szCs w:val="24"/>
        </w:rPr>
        <w:t xml:space="preserve"> More specific to the above </w:t>
      </w:r>
      <w:r w:rsidR="001E3AA9">
        <w:rPr>
          <w:rFonts w:ascii="Times New Roman" w:hAnsi="Times New Roman" w:cs="Times New Roman"/>
          <w:sz w:val="24"/>
          <w:szCs w:val="24"/>
        </w:rPr>
        <w:t>exposition,</w:t>
      </w:r>
      <w:r w:rsidRPr="008A2108">
        <w:rPr>
          <w:rFonts w:ascii="Times New Roman" w:hAnsi="Times New Roman" w:cs="Times New Roman"/>
          <w:sz w:val="24"/>
          <w:szCs w:val="24"/>
        </w:rPr>
        <w:t xml:space="preserve"> a reflexive appreciation of animal agency and value requires a certain minimum of experience in cross-species relationships. Humans differ widely in their sensitivity to animal</w:t>
      </w:r>
      <w:r w:rsidR="00907FAB">
        <w:rPr>
          <w:rFonts w:ascii="Times New Roman" w:hAnsi="Times New Roman" w:cs="Times New Roman"/>
          <w:sz w:val="24"/>
          <w:szCs w:val="24"/>
        </w:rPr>
        <w:t xml:space="preserve"> behavior</w:t>
      </w:r>
      <w:r w:rsidRPr="008A2108">
        <w:rPr>
          <w:rFonts w:ascii="Times New Roman" w:hAnsi="Times New Roman" w:cs="Times New Roman"/>
          <w:sz w:val="24"/>
          <w:szCs w:val="24"/>
        </w:rPr>
        <w:t xml:space="preserve"> and adherence to cultural proscriptions against engagement with certain species</w:t>
      </w:r>
      <w:r w:rsidR="001E3AA9">
        <w:rPr>
          <w:rFonts w:ascii="Times New Roman" w:hAnsi="Times New Roman" w:cs="Times New Roman"/>
          <w:sz w:val="24"/>
          <w:szCs w:val="24"/>
        </w:rPr>
        <w:t>.</w:t>
      </w:r>
      <w:r w:rsidR="001E3AA9">
        <w:rPr>
          <w:rStyle w:val="FootnoteReference"/>
          <w:rFonts w:ascii="Times New Roman" w:hAnsi="Times New Roman" w:cs="Times New Roman"/>
          <w:sz w:val="24"/>
          <w:szCs w:val="24"/>
        </w:rPr>
        <w:footnoteReference w:id="68"/>
      </w:r>
      <w:r w:rsidRPr="008A2108">
        <w:rPr>
          <w:rFonts w:ascii="Times New Roman" w:hAnsi="Times New Roman" w:cs="Times New Roman"/>
          <w:sz w:val="24"/>
          <w:szCs w:val="24"/>
        </w:rPr>
        <w:t xml:space="preserve"> </w:t>
      </w:r>
      <w:r w:rsidR="00B7461D">
        <w:rPr>
          <w:rFonts w:ascii="Times New Roman" w:hAnsi="Times New Roman" w:cs="Times New Roman"/>
          <w:sz w:val="24"/>
          <w:szCs w:val="24"/>
        </w:rPr>
        <w:t>T</w:t>
      </w:r>
      <w:r w:rsidRPr="008A2108">
        <w:rPr>
          <w:rFonts w:ascii="Times New Roman" w:hAnsi="Times New Roman" w:cs="Times New Roman"/>
          <w:sz w:val="24"/>
          <w:szCs w:val="24"/>
        </w:rPr>
        <w:t xml:space="preserve">here is considerable ambiguity, also, in regard to which species possess what sorts of agency; and indeed, an overly-broad application of the concept risks weakening its </w:t>
      </w:r>
      <w:proofErr w:type="spellStart"/>
      <w:r w:rsidRPr="008A2108">
        <w:rPr>
          <w:rFonts w:ascii="Times New Roman" w:hAnsi="Times New Roman" w:cs="Times New Roman"/>
          <w:sz w:val="24"/>
          <w:szCs w:val="24"/>
        </w:rPr>
        <w:t>ethico</w:t>
      </w:r>
      <w:proofErr w:type="spellEnd"/>
      <w:r w:rsidRPr="008A2108">
        <w:rPr>
          <w:rFonts w:ascii="Times New Roman" w:hAnsi="Times New Roman" w:cs="Times New Roman"/>
          <w:sz w:val="24"/>
          <w:szCs w:val="24"/>
        </w:rPr>
        <w:t>-political potency</w:t>
      </w:r>
      <w:r w:rsidR="00B7461D">
        <w:rPr>
          <w:rFonts w:ascii="Times New Roman" w:hAnsi="Times New Roman" w:cs="Times New Roman"/>
          <w:sz w:val="24"/>
          <w:szCs w:val="24"/>
        </w:rPr>
        <w:t>.</w:t>
      </w:r>
      <w:r w:rsidR="00B7461D">
        <w:rPr>
          <w:rStyle w:val="FootnoteReference"/>
          <w:rFonts w:ascii="Times New Roman" w:hAnsi="Times New Roman" w:cs="Times New Roman"/>
          <w:sz w:val="24"/>
          <w:szCs w:val="24"/>
        </w:rPr>
        <w:footnoteReference w:id="69"/>
      </w:r>
      <w:r w:rsidRPr="008A2108">
        <w:rPr>
          <w:rFonts w:ascii="Times New Roman" w:hAnsi="Times New Roman" w:cs="Times New Roman"/>
          <w:sz w:val="24"/>
          <w:szCs w:val="24"/>
        </w:rPr>
        <w:t xml:space="preserve"> </w:t>
      </w:r>
      <w:r w:rsidR="00B7461D">
        <w:rPr>
          <w:rFonts w:ascii="Times New Roman" w:hAnsi="Times New Roman" w:cs="Times New Roman"/>
          <w:sz w:val="24"/>
          <w:szCs w:val="24"/>
        </w:rPr>
        <w:t>F</w:t>
      </w:r>
      <w:r w:rsidRPr="008A2108">
        <w:rPr>
          <w:rFonts w:ascii="Times New Roman" w:hAnsi="Times New Roman" w:cs="Times New Roman"/>
          <w:sz w:val="24"/>
          <w:szCs w:val="24"/>
        </w:rPr>
        <w:t xml:space="preserve">inally, although the areas of overlap between human and animal agency are extensive (although as yet largely unappreciated), many species are, as </w:t>
      </w:r>
      <w:r w:rsidR="00B7461D">
        <w:rPr>
          <w:rFonts w:ascii="Times New Roman" w:hAnsi="Times New Roman" w:cs="Times New Roman"/>
          <w:sz w:val="24"/>
          <w:szCs w:val="24"/>
        </w:rPr>
        <w:t xml:space="preserve">Cynthia </w:t>
      </w:r>
      <w:r w:rsidRPr="008A2108">
        <w:rPr>
          <w:rFonts w:ascii="Times New Roman" w:hAnsi="Times New Roman" w:cs="Times New Roman"/>
          <w:sz w:val="24"/>
          <w:szCs w:val="24"/>
        </w:rPr>
        <w:t>Willett puts it, “tuned to modalities of experience and expression inaccessible to humans</w:t>
      </w:r>
      <w:r w:rsidR="00B7461D">
        <w:rPr>
          <w:rFonts w:ascii="Times New Roman" w:hAnsi="Times New Roman" w:cs="Times New Roman"/>
          <w:sz w:val="24"/>
          <w:szCs w:val="24"/>
        </w:rPr>
        <w:t>.</w:t>
      </w:r>
      <w:r w:rsidRPr="008A2108">
        <w:rPr>
          <w:rFonts w:ascii="Times New Roman" w:hAnsi="Times New Roman" w:cs="Times New Roman"/>
          <w:sz w:val="24"/>
          <w:szCs w:val="24"/>
        </w:rPr>
        <w:t>”</w:t>
      </w:r>
      <w:r w:rsidR="00B7461D">
        <w:rPr>
          <w:rStyle w:val="FootnoteReference"/>
          <w:rFonts w:ascii="Times New Roman" w:hAnsi="Times New Roman" w:cs="Times New Roman"/>
          <w:sz w:val="24"/>
          <w:szCs w:val="24"/>
        </w:rPr>
        <w:footnoteReference w:id="70"/>
      </w:r>
      <w:r w:rsidRPr="008A2108">
        <w:rPr>
          <w:rFonts w:ascii="Times New Roman" w:hAnsi="Times New Roman" w:cs="Times New Roman"/>
          <w:sz w:val="24"/>
          <w:szCs w:val="24"/>
        </w:rPr>
        <w:t xml:space="preserve"> </w:t>
      </w:r>
    </w:p>
    <w:p w:rsidR="002F17DE" w:rsidRPr="008A2108" w:rsidRDefault="002F17DE" w:rsidP="002413B5">
      <w:pPr>
        <w:spacing w:after="0" w:line="480" w:lineRule="auto"/>
        <w:ind w:firstLine="720"/>
        <w:rPr>
          <w:rFonts w:ascii="Times New Roman" w:hAnsi="Times New Roman" w:cs="Times New Roman"/>
          <w:sz w:val="24"/>
          <w:szCs w:val="24"/>
        </w:rPr>
      </w:pPr>
      <w:proofErr w:type="spellStart"/>
      <w:r w:rsidRPr="008A2108">
        <w:rPr>
          <w:rFonts w:ascii="Times New Roman" w:hAnsi="Times New Roman" w:cs="Times New Roman"/>
          <w:i/>
          <w:sz w:val="24"/>
          <w:szCs w:val="24"/>
        </w:rPr>
        <w:t>Laudato</w:t>
      </w:r>
      <w:proofErr w:type="spellEnd"/>
      <w:r w:rsidRPr="008A2108">
        <w:rPr>
          <w:rFonts w:ascii="Times New Roman" w:hAnsi="Times New Roman" w:cs="Times New Roman"/>
          <w:i/>
          <w:sz w:val="24"/>
          <w:szCs w:val="24"/>
        </w:rPr>
        <w:t xml:space="preserve"> </w:t>
      </w:r>
      <w:proofErr w:type="spellStart"/>
      <w:r w:rsidRPr="008A2108">
        <w:rPr>
          <w:rFonts w:ascii="Times New Roman" w:hAnsi="Times New Roman" w:cs="Times New Roman"/>
          <w:i/>
          <w:sz w:val="24"/>
          <w:szCs w:val="24"/>
        </w:rPr>
        <w:t>Sí</w:t>
      </w:r>
      <w:proofErr w:type="spellEnd"/>
      <w:r w:rsidRPr="008A2108">
        <w:rPr>
          <w:rFonts w:ascii="Times New Roman" w:hAnsi="Times New Roman" w:cs="Times New Roman"/>
          <w:sz w:val="24"/>
          <w:szCs w:val="24"/>
        </w:rPr>
        <w:t xml:space="preserve"> urges development of a new </w:t>
      </w:r>
      <w:r w:rsidR="007348C9">
        <w:rPr>
          <w:rFonts w:ascii="Times New Roman" w:hAnsi="Times New Roman" w:cs="Times New Roman"/>
          <w:sz w:val="24"/>
          <w:szCs w:val="24"/>
        </w:rPr>
        <w:t>environmental ethics</w:t>
      </w:r>
      <w:r w:rsidRPr="008A2108">
        <w:rPr>
          <w:rFonts w:ascii="Times New Roman" w:hAnsi="Times New Roman" w:cs="Times New Roman"/>
          <w:sz w:val="24"/>
          <w:szCs w:val="24"/>
        </w:rPr>
        <w:t>, and indeed, some are suggesting mid-level principles congruent with a subjective ecology</w:t>
      </w:r>
      <w:r w:rsidR="00907FAB">
        <w:rPr>
          <w:rFonts w:ascii="Times New Roman" w:hAnsi="Times New Roman" w:cs="Times New Roman"/>
          <w:sz w:val="24"/>
          <w:szCs w:val="24"/>
        </w:rPr>
        <w:t>.</w:t>
      </w:r>
      <w:r w:rsidR="00907FAB">
        <w:rPr>
          <w:rStyle w:val="FootnoteReference"/>
          <w:rFonts w:ascii="Times New Roman" w:hAnsi="Times New Roman" w:cs="Times New Roman"/>
          <w:sz w:val="24"/>
          <w:szCs w:val="24"/>
        </w:rPr>
        <w:footnoteReference w:id="71"/>
      </w:r>
      <w:r w:rsidR="00907FAB">
        <w:rPr>
          <w:rFonts w:ascii="Times New Roman" w:hAnsi="Times New Roman" w:cs="Times New Roman"/>
          <w:sz w:val="24"/>
          <w:szCs w:val="24"/>
        </w:rPr>
        <w:t xml:space="preserve"> These include the </w:t>
      </w:r>
      <w:r w:rsidRPr="008A2108">
        <w:rPr>
          <w:rFonts w:ascii="Times New Roman" w:hAnsi="Times New Roman" w:cs="Times New Roman"/>
          <w:sz w:val="24"/>
          <w:szCs w:val="24"/>
        </w:rPr>
        <w:t xml:space="preserve">protection of humans’ empathic capabilities; respect for most animals’ ability to function as a habit-habitat unity; greater protection for domesticated species who cannot survive on their own; a transparency that avoids deceit; a </w:t>
      </w:r>
      <w:proofErr w:type="spellStart"/>
      <w:r w:rsidRPr="008A2108">
        <w:rPr>
          <w:rFonts w:ascii="Times New Roman" w:hAnsi="Times New Roman" w:cs="Times New Roman"/>
          <w:sz w:val="24"/>
          <w:szCs w:val="24"/>
        </w:rPr>
        <w:t>subsidiarity</w:t>
      </w:r>
      <w:proofErr w:type="spellEnd"/>
      <w:r w:rsidRPr="008A2108">
        <w:rPr>
          <w:rFonts w:ascii="Times New Roman" w:hAnsi="Times New Roman" w:cs="Times New Roman"/>
          <w:sz w:val="24"/>
          <w:szCs w:val="24"/>
        </w:rPr>
        <w:t xml:space="preserve"> that restores a “small scale society ethos” within larger scale political units, a precautionary principle such as that articulated in the Earth Charter, and reparation or at least alleviation of past harms</w:t>
      </w:r>
      <w:r w:rsidR="007348C9">
        <w:rPr>
          <w:rFonts w:ascii="Times New Roman" w:hAnsi="Times New Roman" w:cs="Times New Roman"/>
          <w:sz w:val="24"/>
          <w:szCs w:val="24"/>
        </w:rPr>
        <w:t>.</w:t>
      </w:r>
      <w:r w:rsidR="007348C9">
        <w:rPr>
          <w:rStyle w:val="FootnoteReference"/>
          <w:rFonts w:ascii="Times New Roman" w:hAnsi="Times New Roman" w:cs="Times New Roman"/>
          <w:sz w:val="24"/>
          <w:szCs w:val="24"/>
        </w:rPr>
        <w:footnoteReference w:id="72"/>
      </w:r>
      <w:r w:rsidRPr="008A2108">
        <w:rPr>
          <w:rFonts w:ascii="Times New Roman" w:hAnsi="Times New Roman" w:cs="Times New Roman"/>
          <w:sz w:val="24"/>
          <w:szCs w:val="24"/>
        </w:rPr>
        <w:t xml:space="preserve"> Given space constraints, I focus here on how attention to animal agency can promote Pope Francis’ broader aim of “Care for Our Common Home.” Recall from my introduction Pope Francis’</w:t>
      </w:r>
      <w:r w:rsidR="00081B48">
        <w:rPr>
          <w:rFonts w:ascii="Times New Roman" w:hAnsi="Times New Roman" w:cs="Times New Roman"/>
          <w:sz w:val="24"/>
          <w:szCs w:val="24"/>
        </w:rPr>
        <w:t xml:space="preserve"> invitation</w:t>
      </w:r>
      <w:r w:rsidRPr="008A2108">
        <w:rPr>
          <w:rFonts w:ascii="Times New Roman" w:hAnsi="Times New Roman" w:cs="Times New Roman"/>
          <w:sz w:val="24"/>
          <w:szCs w:val="24"/>
        </w:rPr>
        <w:t xml:space="preserve"> to move beyond </w:t>
      </w:r>
      <w:r w:rsidRPr="008A2108">
        <w:rPr>
          <w:rFonts w:ascii="Times New Roman" w:hAnsi="Times New Roman" w:cs="Times New Roman"/>
          <w:sz w:val="24"/>
          <w:szCs w:val="24"/>
        </w:rPr>
        <w:lastRenderedPageBreak/>
        <w:t>intellectual and economic ways of approaching creation to the sort of understanding that can “take us to the heart of what it is to be human</w:t>
      </w:r>
      <w:r w:rsidR="0076603A">
        <w:rPr>
          <w:rFonts w:ascii="Times New Roman" w:hAnsi="Times New Roman" w:cs="Times New Roman"/>
          <w:sz w:val="24"/>
          <w:szCs w:val="24"/>
        </w:rPr>
        <w:t>.</w:t>
      </w:r>
      <w:r w:rsidRPr="008A2108">
        <w:rPr>
          <w:rFonts w:ascii="Times New Roman" w:hAnsi="Times New Roman" w:cs="Times New Roman"/>
          <w:sz w:val="24"/>
          <w:szCs w:val="24"/>
        </w:rPr>
        <w:t xml:space="preserve">” In accord with secular modernity, our treatment of the </w:t>
      </w:r>
      <w:proofErr w:type="spellStart"/>
      <w:r w:rsidRPr="008A2108">
        <w:rPr>
          <w:rFonts w:ascii="Times New Roman" w:hAnsi="Times New Roman" w:cs="Times New Roman"/>
          <w:sz w:val="24"/>
          <w:szCs w:val="24"/>
        </w:rPr>
        <w:t>extrahuman</w:t>
      </w:r>
      <w:proofErr w:type="spellEnd"/>
      <w:r w:rsidRPr="008A2108">
        <w:rPr>
          <w:rFonts w:ascii="Times New Roman" w:hAnsi="Times New Roman" w:cs="Times New Roman"/>
          <w:sz w:val="24"/>
          <w:szCs w:val="24"/>
        </w:rPr>
        <w:t xml:space="preserve"> sphere usually oscillates between two approaches: sorting </w:t>
      </w:r>
      <w:proofErr w:type="spellStart"/>
      <w:r w:rsidRPr="008A2108">
        <w:rPr>
          <w:rFonts w:ascii="Times New Roman" w:hAnsi="Times New Roman" w:cs="Times New Roman"/>
          <w:sz w:val="24"/>
          <w:szCs w:val="24"/>
        </w:rPr>
        <w:t>otherkind</w:t>
      </w:r>
      <w:proofErr w:type="spellEnd"/>
      <w:r w:rsidRPr="008A2108">
        <w:rPr>
          <w:rFonts w:ascii="Times New Roman" w:hAnsi="Times New Roman" w:cs="Times New Roman"/>
          <w:sz w:val="24"/>
          <w:szCs w:val="24"/>
        </w:rPr>
        <w:t xml:space="preserve"> to facilitate their optimal management and a preoccupation with </w:t>
      </w:r>
      <w:r w:rsidR="00081B48">
        <w:rPr>
          <w:rFonts w:ascii="Times New Roman" w:hAnsi="Times New Roman" w:cs="Times New Roman"/>
          <w:sz w:val="24"/>
          <w:szCs w:val="24"/>
        </w:rPr>
        <w:t>nature’s</w:t>
      </w:r>
      <w:r w:rsidRPr="008A2108">
        <w:rPr>
          <w:rFonts w:ascii="Times New Roman" w:hAnsi="Times New Roman" w:cs="Times New Roman"/>
          <w:sz w:val="24"/>
          <w:szCs w:val="24"/>
        </w:rPr>
        <w:t xml:space="preserve"> utility</w:t>
      </w:r>
      <w:r w:rsidR="00081B48">
        <w:rPr>
          <w:rFonts w:ascii="Times New Roman" w:hAnsi="Times New Roman" w:cs="Times New Roman"/>
          <w:sz w:val="24"/>
          <w:szCs w:val="24"/>
        </w:rPr>
        <w:t>.</w:t>
      </w:r>
      <w:r w:rsidR="00081B48">
        <w:rPr>
          <w:rStyle w:val="FootnoteReference"/>
          <w:rFonts w:ascii="Times New Roman" w:hAnsi="Times New Roman" w:cs="Times New Roman"/>
          <w:sz w:val="24"/>
          <w:szCs w:val="24"/>
        </w:rPr>
        <w:footnoteReference w:id="73"/>
      </w:r>
      <w:r w:rsidRPr="008A2108">
        <w:rPr>
          <w:rFonts w:ascii="Times New Roman" w:hAnsi="Times New Roman" w:cs="Times New Roman"/>
          <w:sz w:val="24"/>
          <w:szCs w:val="24"/>
        </w:rPr>
        <w:t xml:space="preserve"> The alternative is to begin with an inherently social human who seeks fulfillment in some external structure that evinces purpose and so meaning. On a macro level, the living web is paradigmatic in this regard. On a micro level, the paradigm is the in-person encounter between human and animal. As we have seen, humans are not ordered, primarily, so as manipulate a world of passive objects </w:t>
      </w:r>
      <w:r w:rsidR="00907FAB">
        <w:rPr>
          <w:rFonts w:ascii="Times New Roman" w:hAnsi="Times New Roman" w:cs="Times New Roman"/>
          <w:sz w:val="24"/>
          <w:szCs w:val="24"/>
        </w:rPr>
        <w:t>(</w:t>
      </w:r>
      <w:r w:rsidRPr="008A2108">
        <w:rPr>
          <w:rFonts w:ascii="Times New Roman" w:hAnsi="Times New Roman" w:cs="Times New Roman"/>
          <w:sz w:val="24"/>
          <w:szCs w:val="24"/>
        </w:rPr>
        <w:t>some of which might be victims with unmet physical needs</w:t>
      </w:r>
      <w:r w:rsidR="00907FAB">
        <w:rPr>
          <w:rFonts w:ascii="Times New Roman" w:hAnsi="Times New Roman" w:cs="Times New Roman"/>
          <w:sz w:val="24"/>
          <w:szCs w:val="24"/>
        </w:rPr>
        <w:t>)</w:t>
      </w:r>
      <w:r w:rsidRPr="008A2108">
        <w:rPr>
          <w:rFonts w:ascii="Times New Roman" w:hAnsi="Times New Roman" w:cs="Times New Roman"/>
          <w:sz w:val="24"/>
          <w:szCs w:val="24"/>
        </w:rPr>
        <w:t>; but for cross-species interactions that reveal both partners as whole and integral subjects. Put succinctly, a fundamentally “open” sort of embodied interaction roots the self. It is both the proper start point for, and the reservoir that enriches, relationship. Indeed, because the self arises from its relationships, self-continuity entails their maintenance</w:t>
      </w:r>
      <w:r w:rsidR="00081B48">
        <w:rPr>
          <w:rFonts w:ascii="Times New Roman" w:hAnsi="Times New Roman" w:cs="Times New Roman"/>
          <w:sz w:val="24"/>
          <w:szCs w:val="24"/>
        </w:rPr>
        <w:t>.</w:t>
      </w:r>
      <w:r w:rsidR="00081B48">
        <w:rPr>
          <w:rStyle w:val="FootnoteReference"/>
          <w:rFonts w:ascii="Times New Roman" w:hAnsi="Times New Roman" w:cs="Times New Roman"/>
          <w:sz w:val="24"/>
          <w:szCs w:val="24"/>
        </w:rPr>
        <w:footnoteReference w:id="74"/>
      </w:r>
    </w:p>
    <w:p w:rsidR="002F17DE" w:rsidRPr="008A2108" w:rsidRDefault="002F17DE" w:rsidP="002413B5">
      <w:pPr>
        <w:spacing w:after="0" w:line="480" w:lineRule="auto"/>
        <w:ind w:firstLine="720"/>
        <w:rPr>
          <w:rFonts w:ascii="Times New Roman" w:hAnsi="Times New Roman" w:cs="Times New Roman"/>
          <w:sz w:val="24"/>
          <w:szCs w:val="24"/>
        </w:rPr>
      </w:pPr>
      <w:r w:rsidRPr="008A2108">
        <w:rPr>
          <w:rFonts w:ascii="Times New Roman" w:hAnsi="Times New Roman" w:cs="Times New Roman"/>
          <w:sz w:val="24"/>
          <w:szCs w:val="24"/>
        </w:rPr>
        <w:t>Acknowledgement of animal agency can inform, energize and transform embodied interaction. It can inform by highlighting those overlaps which enable the bridging of essential difference. At a minimum, we grasp the way in which an animal relates its species-specific form to its context. Animals, as Dillard-Wright explains, “carry expression in their every movement,” such that “the clown-fish, no less than the marine biologist, expresses the life of the sea</w:t>
      </w:r>
      <w:r w:rsidR="00081B48">
        <w:rPr>
          <w:rFonts w:ascii="Times New Roman" w:hAnsi="Times New Roman" w:cs="Times New Roman"/>
          <w:sz w:val="24"/>
          <w:szCs w:val="24"/>
        </w:rPr>
        <w:t>.</w:t>
      </w:r>
      <w:r w:rsidRPr="008A2108">
        <w:rPr>
          <w:rFonts w:ascii="Times New Roman" w:hAnsi="Times New Roman" w:cs="Times New Roman"/>
          <w:sz w:val="24"/>
          <w:szCs w:val="24"/>
        </w:rPr>
        <w:t>”</w:t>
      </w:r>
      <w:r w:rsidR="00081B48">
        <w:rPr>
          <w:rStyle w:val="FootnoteReference"/>
          <w:rFonts w:ascii="Times New Roman" w:hAnsi="Times New Roman" w:cs="Times New Roman"/>
          <w:sz w:val="24"/>
          <w:szCs w:val="24"/>
        </w:rPr>
        <w:footnoteReference w:id="75"/>
      </w:r>
      <w:r w:rsidRPr="008A2108">
        <w:rPr>
          <w:rFonts w:ascii="Times New Roman" w:hAnsi="Times New Roman" w:cs="Times New Roman"/>
          <w:sz w:val="24"/>
          <w:szCs w:val="24"/>
        </w:rPr>
        <w:t xml:space="preserve"> At the other end of this continuum, we enjoy the sort of artful and open-ended interchange that enables each party to more fully express their individual identity, as mediated by their species-style. Indeed, because “intentions unfold within directed behavior,” it is through agential </w:t>
      </w:r>
      <w:r w:rsidRPr="008A2108">
        <w:rPr>
          <w:rFonts w:ascii="Times New Roman" w:hAnsi="Times New Roman" w:cs="Times New Roman"/>
          <w:sz w:val="24"/>
          <w:szCs w:val="24"/>
        </w:rPr>
        <w:lastRenderedPageBreak/>
        <w:t>expression that the creature reveals its own experience of need</w:t>
      </w:r>
      <w:r w:rsidR="00081B48">
        <w:rPr>
          <w:rFonts w:ascii="Times New Roman" w:hAnsi="Times New Roman" w:cs="Times New Roman"/>
          <w:sz w:val="24"/>
          <w:szCs w:val="24"/>
        </w:rPr>
        <w:t>.</w:t>
      </w:r>
      <w:r w:rsidR="00081B48">
        <w:rPr>
          <w:rStyle w:val="FootnoteReference"/>
          <w:rFonts w:ascii="Times New Roman" w:hAnsi="Times New Roman" w:cs="Times New Roman"/>
          <w:sz w:val="24"/>
          <w:szCs w:val="24"/>
        </w:rPr>
        <w:footnoteReference w:id="76"/>
      </w:r>
      <w:r w:rsidRPr="008A2108">
        <w:rPr>
          <w:rFonts w:ascii="Times New Roman" w:hAnsi="Times New Roman" w:cs="Times New Roman"/>
          <w:sz w:val="24"/>
          <w:szCs w:val="24"/>
        </w:rPr>
        <w:t xml:space="preserve"> To understand the other as agential, second, is inherently engaging. Playing with machines can be fun, but we are tantalized by the open character of the </w:t>
      </w:r>
      <w:proofErr w:type="spellStart"/>
      <w:r w:rsidRPr="008A2108">
        <w:rPr>
          <w:rFonts w:ascii="Times New Roman" w:hAnsi="Times New Roman" w:cs="Times New Roman"/>
          <w:sz w:val="24"/>
          <w:szCs w:val="24"/>
        </w:rPr>
        <w:t>interanimate</w:t>
      </w:r>
      <w:proofErr w:type="spellEnd"/>
      <w:r w:rsidRPr="008A2108">
        <w:rPr>
          <w:rFonts w:ascii="Times New Roman" w:hAnsi="Times New Roman" w:cs="Times New Roman"/>
          <w:sz w:val="24"/>
          <w:szCs w:val="24"/>
        </w:rPr>
        <w:t xml:space="preserve"> relation</w:t>
      </w:r>
      <w:r w:rsidR="00AD2218">
        <w:rPr>
          <w:rFonts w:ascii="Times New Roman" w:hAnsi="Times New Roman" w:cs="Times New Roman"/>
          <w:sz w:val="24"/>
          <w:szCs w:val="24"/>
        </w:rPr>
        <w:t>.</w:t>
      </w:r>
      <w:r w:rsidR="00F33830">
        <w:rPr>
          <w:rStyle w:val="FootnoteReference"/>
          <w:rFonts w:ascii="Times New Roman" w:hAnsi="Times New Roman" w:cs="Times New Roman"/>
          <w:sz w:val="24"/>
          <w:szCs w:val="24"/>
        </w:rPr>
        <w:footnoteReference w:id="77"/>
      </w:r>
      <w:r w:rsidR="00AD2218">
        <w:rPr>
          <w:rFonts w:ascii="Times New Roman" w:hAnsi="Times New Roman" w:cs="Times New Roman"/>
          <w:sz w:val="24"/>
          <w:szCs w:val="24"/>
        </w:rPr>
        <w:tab/>
      </w:r>
      <w:r w:rsidRPr="008A2108">
        <w:rPr>
          <w:rFonts w:ascii="Times New Roman" w:hAnsi="Times New Roman" w:cs="Times New Roman"/>
          <w:sz w:val="24"/>
          <w:szCs w:val="24"/>
        </w:rPr>
        <w:t>An exchange of gifts is the implicit logic here. Thus, while attention to need highlights scarcity, a focus on agency generates a perceived abundance. And generally speaking, the more I interact, the more fulfilling I find those interactions. Encounters which incorporate agency, furthermore, hold the potential to transform human understandings and practices. As against the Cartesian dualisms—the assumption of an active, individual, inspirited, intentional, and expressive human as versus a passive, generic, wholly sensate, determined, and mute animal—that discourage a horizontal mutuality, they encourage us to seek out more and better cross-species relationships</w:t>
      </w:r>
      <w:r w:rsidR="00F33830">
        <w:rPr>
          <w:rFonts w:ascii="Times New Roman" w:hAnsi="Times New Roman" w:cs="Times New Roman"/>
          <w:sz w:val="24"/>
          <w:szCs w:val="24"/>
        </w:rPr>
        <w:t>.</w:t>
      </w:r>
      <w:r w:rsidR="00F33830">
        <w:rPr>
          <w:rStyle w:val="FootnoteReference"/>
          <w:rFonts w:ascii="Times New Roman" w:hAnsi="Times New Roman" w:cs="Times New Roman"/>
          <w:sz w:val="24"/>
          <w:szCs w:val="24"/>
        </w:rPr>
        <w:footnoteReference w:id="78"/>
      </w:r>
      <w:r w:rsidRPr="008A2108">
        <w:rPr>
          <w:rFonts w:ascii="Times New Roman" w:hAnsi="Times New Roman" w:cs="Times New Roman"/>
          <w:sz w:val="24"/>
          <w:szCs w:val="24"/>
        </w:rPr>
        <w:t xml:space="preserve"> Indeed, such encounters will, over time, foster a relational “</w:t>
      </w:r>
      <w:proofErr w:type="spellStart"/>
      <w:r w:rsidRPr="008A2108">
        <w:rPr>
          <w:rFonts w:ascii="Times New Roman" w:hAnsi="Times New Roman" w:cs="Times New Roman"/>
          <w:sz w:val="24"/>
          <w:szCs w:val="24"/>
        </w:rPr>
        <w:t>complexification</w:t>
      </w:r>
      <w:proofErr w:type="spellEnd"/>
      <w:r w:rsidRPr="008A2108">
        <w:rPr>
          <w:rFonts w:ascii="Times New Roman" w:hAnsi="Times New Roman" w:cs="Times New Roman"/>
          <w:sz w:val="24"/>
          <w:szCs w:val="24"/>
        </w:rPr>
        <w:t>,” in the sense of an “upward spiraling of ability and challenge</w:t>
      </w:r>
      <w:r w:rsidR="00F33830">
        <w:rPr>
          <w:rFonts w:ascii="Times New Roman" w:hAnsi="Times New Roman" w:cs="Times New Roman"/>
          <w:sz w:val="24"/>
          <w:szCs w:val="24"/>
        </w:rPr>
        <w:t>.</w:t>
      </w:r>
      <w:r w:rsidRPr="008A2108">
        <w:rPr>
          <w:rFonts w:ascii="Times New Roman" w:hAnsi="Times New Roman" w:cs="Times New Roman"/>
          <w:sz w:val="24"/>
          <w:szCs w:val="24"/>
        </w:rPr>
        <w:t>”</w:t>
      </w:r>
      <w:r w:rsidR="00F33830">
        <w:rPr>
          <w:rStyle w:val="FootnoteReference"/>
          <w:rFonts w:ascii="Times New Roman" w:hAnsi="Times New Roman" w:cs="Times New Roman"/>
          <w:sz w:val="24"/>
          <w:szCs w:val="24"/>
        </w:rPr>
        <w:footnoteReference w:id="79"/>
      </w:r>
      <w:r w:rsidRPr="008A2108">
        <w:rPr>
          <w:rFonts w:ascii="Times New Roman" w:hAnsi="Times New Roman" w:cs="Times New Roman"/>
          <w:sz w:val="24"/>
          <w:szCs w:val="24"/>
        </w:rPr>
        <w:t xml:space="preserve">  </w:t>
      </w:r>
    </w:p>
    <w:p w:rsidR="002F17DE" w:rsidRPr="008A2108" w:rsidRDefault="002F17DE" w:rsidP="002413B5">
      <w:pPr>
        <w:spacing w:after="0" w:line="480" w:lineRule="auto"/>
        <w:ind w:firstLine="720"/>
        <w:rPr>
          <w:rFonts w:ascii="Times New Roman" w:hAnsi="Times New Roman" w:cs="Times New Roman"/>
          <w:sz w:val="24"/>
          <w:szCs w:val="24"/>
        </w:rPr>
      </w:pPr>
      <w:r w:rsidRPr="008A2108">
        <w:rPr>
          <w:rFonts w:ascii="Times New Roman" w:hAnsi="Times New Roman" w:cs="Times New Roman"/>
          <w:sz w:val="24"/>
          <w:szCs w:val="24"/>
        </w:rPr>
        <w:t xml:space="preserve">In </w:t>
      </w:r>
      <w:r w:rsidR="00907FAB">
        <w:rPr>
          <w:rFonts w:ascii="Times New Roman" w:hAnsi="Times New Roman" w:cs="Times New Roman"/>
          <w:sz w:val="24"/>
          <w:szCs w:val="24"/>
        </w:rPr>
        <w:t>conclusion,</w:t>
      </w:r>
      <w:r w:rsidRPr="008A2108">
        <w:rPr>
          <w:rFonts w:ascii="Times New Roman" w:hAnsi="Times New Roman" w:cs="Times New Roman"/>
          <w:sz w:val="24"/>
          <w:szCs w:val="24"/>
        </w:rPr>
        <w:t xml:space="preserve"> although one can meet a physical need in a mechanical way, one must incorporate animal agency to attain </w:t>
      </w:r>
      <w:proofErr w:type="spellStart"/>
      <w:r w:rsidRPr="003E654B">
        <w:rPr>
          <w:rFonts w:ascii="Times New Roman" w:hAnsi="Times New Roman" w:cs="Times New Roman"/>
          <w:i/>
          <w:sz w:val="24"/>
          <w:szCs w:val="24"/>
        </w:rPr>
        <w:t>Laudato</w:t>
      </w:r>
      <w:proofErr w:type="spellEnd"/>
      <w:r w:rsidRPr="003E654B">
        <w:rPr>
          <w:rFonts w:ascii="Times New Roman" w:hAnsi="Times New Roman" w:cs="Times New Roman"/>
          <w:i/>
          <w:sz w:val="24"/>
          <w:szCs w:val="24"/>
        </w:rPr>
        <w:t xml:space="preserve"> </w:t>
      </w:r>
      <w:proofErr w:type="spellStart"/>
      <w:r w:rsidRPr="003E654B">
        <w:rPr>
          <w:rFonts w:ascii="Times New Roman" w:hAnsi="Times New Roman" w:cs="Times New Roman"/>
          <w:i/>
          <w:sz w:val="24"/>
          <w:szCs w:val="24"/>
        </w:rPr>
        <w:t>Sí’s</w:t>
      </w:r>
      <w:proofErr w:type="spellEnd"/>
      <w:r w:rsidRPr="008A2108">
        <w:rPr>
          <w:rFonts w:ascii="Times New Roman" w:hAnsi="Times New Roman" w:cs="Times New Roman"/>
          <w:sz w:val="24"/>
          <w:szCs w:val="24"/>
        </w:rPr>
        <w:t xml:space="preserve"> vision of</w:t>
      </w:r>
      <w:r w:rsidR="003E654B">
        <w:rPr>
          <w:rFonts w:ascii="Times New Roman" w:hAnsi="Times New Roman" w:cs="Times New Roman"/>
          <w:sz w:val="24"/>
          <w:szCs w:val="24"/>
        </w:rPr>
        <w:t xml:space="preserve"> </w:t>
      </w:r>
      <w:r w:rsidRPr="008A2108">
        <w:rPr>
          <w:rFonts w:ascii="Times New Roman" w:hAnsi="Times New Roman" w:cs="Times New Roman"/>
          <w:sz w:val="24"/>
          <w:szCs w:val="24"/>
        </w:rPr>
        <w:t>communion, or what Alejandro</w:t>
      </w:r>
      <w:r w:rsidR="00E30A13">
        <w:rPr>
          <w:rFonts w:ascii="Times New Roman" w:hAnsi="Times New Roman" w:cs="Times New Roman"/>
          <w:sz w:val="24"/>
          <w:szCs w:val="24"/>
        </w:rPr>
        <w:t xml:space="preserve"> R. </w:t>
      </w:r>
      <w:r w:rsidRPr="008A2108">
        <w:rPr>
          <w:rFonts w:ascii="Times New Roman" w:hAnsi="Times New Roman" w:cs="Times New Roman"/>
          <w:sz w:val="24"/>
          <w:szCs w:val="24"/>
        </w:rPr>
        <w:t xml:space="preserve"> </w:t>
      </w:r>
      <w:proofErr w:type="spellStart"/>
      <w:r w:rsidRPr="008A2108">
        <w:rPr>
          <w:rFonts w:ascii="Times New Roman" w:hAnsi="Times New Roman" w:cs="Times New Roman"/>
          <w:sz w:val="24"/>
          <w:szCs w:val="24"/>
        </w:rPr>
        <w:t>García</w:t>
      </w:r>
      <w:proofErr w:type="spellEnd"/>
      <w:r w:rsidR="00E30A13">
        <w:rPr>
          <w:rFonts w:ascii="Times New Roman" w:hAnsi="Times New Roman" w:cs="Times New Roman"/>
          <w:sz w:val="24"/>
          <w:szCs w:val="24"/>
        </w:rPr>
        <w:t>-Rivera</w:t>
      </w:r>
      <w:r w:rsidRPr="008A2108">
        <w:rPr>
          <w:rFonts w:ascii="Times New Roman" w:hAnsi="Times New Roman" w:cs="Times New Roman"/>
          <w:sz w:val="24"/>
          <w:szCs w:val="24"/>
        </w:rPr>
        <w:t xml:space="preserve"> </w:t>
      </w:r>
      <w:r w:rsidR="00907FAB">
        <w:rPr>
          <w:rFonts w:ascii="Times New Roman" w:hAnsi="Times New Roman" w:cs="Times New Roman"/>
          <w:sz w:val="24"/>
          <w:szCs w:val="24"/>
        </w:rPr>
        <w:t xml:space="preserve">describes as a mode of </w:t>
      </w:r>
      <w:r w:rsidRPr="008A2108">
        <w:rPr>
          <w:rFonts w:ascii="Times New Roman" w:hAnsi="Times New Roman" w:cs="Times New Roman"/>
          <w:sz w:val="24"/>
          <w:szCs w:val="24"/>
        </w:rPr>
        <w:t xml:space="preserve"> “transforming reconciliation</w:t>
      </w:r>
      <w:r w:rsidR="00E30A13">
        <w:rPr>
          <w:rFonts w:ascii="Times New Roman" w:hAnsi="Times New Roman" w:cs="Times New Roman"/>
          <w:sz w:val="24"/>
          <w:szCs w:val="24"/>
        </w:rPr>
        <w:t>.</w:t>
      </w:r>
      <w:r w:rsidRPr="008A2108">
        <w:rPr>
          <w:rFonts w:ascii="Times New Roman" w:hAnsi="Times New Roman" w:cs="Times New Roman"/>
          <w:sz w:val="24"/>
          <w:szCs w:val="24"/>
        </w:rPr>
        <w:t>”</w:t>
      </w:r>
      <w:r w:rsidR="00E30A13">
        <w:rPr>
          <w:rStyle w:val="FootnoteReference"/>
          <w:rFonts w:ascii="Times New Roman" w:hAnsi="Times New Roman" w:cs="Times New Roman"/>
          <w:sz w:val="24"/>
          <w:szCs w:val="24"/>
        </w:rPr>
        <w:footnoteReference w:id="80"/>
      </w:r>
      <w:r w:rsidRPr="008A2108">
        <w:rPr>
          <w:rFonts w:ascii="Times New Roman" w:hAnsi="Times New Roman" w:cs="Times New Roman"/>
          <w:sz w:val="24"/>
          <w:szCs w:val="24"/>
        </w:rPr>
        <w:t xml:space="preserve"> Indeed, if we understand communion as requiring a self-understanding which honors the viewpoint of each fellow organism, recognition of agency is </w:t>
      </w:r>
      <w:r w:rsidR="00E30A13">
        <w:rPr>
          <w:rFonts w:ascii="Times New Roman" w:hAnsi="Times New Roman" w:cs="Times New Roman"/>
          <w:sz w:val="24"/>
          <w:szCs w:val="24"/>
        </w:rPr>
        <w:t xml:space="preserve">constitutive of such communion. </w:t>
      </w:r>
      <w:r w:rsidRPr="008A2108">
        <w:rPr>
          <w:rFonts w:ascii="Times New Roman" w:hAnsi="Times New Roman" w:cs="Times New Roman"/>
          <w:sz w:val="24"/>
          <w:szCs w:val="24"/>
        </w:rPr>
        <w:t xml:space="preserve">In accord with </w:t>
      </w:r>
      <w:proofErr w:type="spellStart"/>
      <w:r w:rsidRPr="00E30A13">
        <w:rPr>
          <w:rFonts w:ascii="Times New Roman" w:hAnsi="Times New Roman" w:cs="Times New Roman"/>
          <w:i/>
          <w:sz w:val="24"/>
          <w:szCs w:val="24"/>
        </w:rPr>
        <w:t>Laudato</w:t>
      </w:r>
      <w:proofErr w:type="spellEnd"/>
      <w:r w:rsidRPr="00E30A13">
        <w:rPr>
          <w:rFonts w:ascii="Times New Roman" w:hAnsi="Times New Roman" w:cs="Times New Roman"/>
          <w:i/>
          <w:sz w:val="24"/>
          <w:szCs w:val="24"/>
        </w:rPr>
        <w:t xml:space="preserve"> </w:t>
      </w:r>
      <w:proofErr w:type="spellStart"/>
      <w:r w:rsidRPr="00E30A13">
        <w:rPr>
          <w:rFonts w:ascii="Times New Roman" w:hAnsi="Times New Roman" w:cs="Times New Roman"/>
          <w:i/>
          <w:sz w:val="24"/>
          <w:szCs w:val="24"/>
        </w:rPr>
        <w:t>Sí’s</w:t>
      </w:r>
      <w:proofErr w:type="spellEnd"/>
      <w:r w:rsidRPr="008A2108">
        <w:rPr>
          <w:rFonts w:ascii="Times New Roman" w:hAnsi="Times New Roman" w:cs="Times New Roman"/>
          <w:sz w:val="24"/>
          <w:szCs w:val="24"/>
        </w:rPr>
        <w:t xml:space="preserve"> subtitle, it is precisely this felt sense of a cross-species </w:t>
      </w:r>
      <w:proofErr w:type="spellStart"/>
      <w:r w:rsidRPr="008A2108">
        <w:rPr>
          <w:rFonts w:ascii="Times New Roman" w:hAnsi="Times New Roman" w:cs="Times New Roman"/>
          <w:sz w:val="24"/>
          <w:szCs w:val="24"/>
        </w:rPr>
        <w:t>coinhabitation</w:t>
      </w:r>
      <w:proofErr w:type="spellEnd"/>
      <w:r w:rsidRPr="008A2108">
        <w:rPr>
          <w:rFonts w:ascii="Times New Roman" w:hAnsi="Times New Roman" w:cs="Times New Roman"/>
          <w:sz w:val="24"/>
          <w:szCs w:val="24"/>
        </w:rPr>
        <w:t xml:space="preserve"> that tells us we’re “home.” Mark Doty has observed that the family pet functions, in today’s frenetic world, as a kind of </w:t>
      </w:r>
      <w:r w:rsidR="002413B5">
        <w:rPr>
          <w:rFonts w:ascii="Times New Roman" w:hAnsi="Times New Roman" w:cs="Times New Roman"/>
          <w:sz w:val="24"/>
          <w:szCs w:val="24"/>
        </w:rPr>
        <w:lastRenderedPageBreak/>
        <w:t>portable</w:t>
      </w:r>
      <w:r w:rsidRPr="008A2108">
        <w:rPr>
          <w:rFonts w:ascii="Times New Roman" w:hAnsi="Times New Roman" w:cs="Times New Roman"/>
          <w:sz w:val="24"/>
          <w:szCs w:val="24"/>
        </w:rPr>
        <w:t xml:space="preserve"> “hearth</w:t>
      </w:r>
      <w:r w:rsidR="00F60D8E">
        <w:rPr>
          <w:rFonts w:ascii="Times New Roman" w:hAnsi="Times New Roman" w:cs="Times New Roman"/>
          <w:sz w:val="24"/>
          <w:szCs w:val="24"/>
        </w:rPr>
        <w:t>.</w:t>
      </w:r>
      <w:r w:rsidRPr="008A2108">
        <w:rPr>
          <w:rFonts w:ascii="Times New Roman" w:hAnsi="Times New Roman" w:cs="Times New Roman"/>
          <w:sz w:val="24"/>
          <w:szCs w:val="24"/>
        </w:rPr>
        <w:t>”</w:t>
      </w:r>
      <w:r w:rsidR="00F60D8E">
        <w:rPr>
          <w:rStyle w:val="FootnoteReference"/>
          <w:rFonts w:ascii="Times New Roman" w:hAnsi="Times New Roman" w:cs="Times New Roman"/>
          <w:sz w:val="24"/>
          <w:szCs w:val="24"/>
        </w:rPr>
        <w:footnoteReference w:id="81"/>
      </w:r>
      <w:r w:rsidRPr="008A2108">
        <w:rPr>
          <w:rFonts w:ascii="Times New Roman" w:hAnsi="Times New Roman" w:cs="Times New Roman"/>
          <w:sz w:val="24"/>
          <w:szCs w:val="24"/>
        </w:rPr>
        <w:t xml:space="preserve"> I suggest that our mutually beneficial interactions with animal subjects work in a similar way, helping to ground a sense of an ever more intelligible and abundant cosmos.  </w:t>
      </w:r>
    </w:p>
    <w:p w:rsidR="002F17DE" w:rsidRPr="008A2108" w:rsidRDefault="002F17DE" w:rsidP="002413B5">
      <w:pPr>
        <w:spacing w:line="480" w:lineRule="auto"/>
        <w:ind w:firstLine="720"/>
        <w:rPr>
          <w:rFonts w:ascii="Times New Roman" w:hAnsi="Times New Roman" w:cs="Times New Roman"/>
          <w:sz w:val="24"/>
          <w:szCs w:val="24"/>
        </w:rPr>
      </w:pPr>
      <w:r w:rsidRPr="008A2108">
        <w:rPr>
          <w:rFonts w:ascii="Times New Roman" w:hAnsi="Times New Roman" w:cs="Times New Roman"/>
          <w:sz w:val="24"/>
          <w:szCs w:val="24"/>
        </w:rPr>
        <w:t xml:space="preserve">I have argued that Catholic social teaching, as oriented toward a cross-species communion, should go beyond its present concern with balancing human and animal need to incorporate an acknowledgment of animal agency. Although Catholicism teaches that the individual organism, as loved by God, can never be a mere object to be used and controlled; its explicit animal ethic centers on a potentially calculative and mechanistic response to animal need. We find an alternative, however, in a </w:t>
      </w:r>
      <w:proofErr w:type="spellStart"/>
      <w:r w:rsidRPr="008A2108">
        <w:rPr>
          <w:rFonts w:ascii="Times New Roman" w:hAnsi="Times New Roman" w:cs="Times New Roman"/>
          <w:sz w:val="24"/>
          <w:szCs w:val="24"/>
        </w:rPr>
        <w:t>Merleau-Pontyan</w:t>
      </w:r>
      <w:proofErr w:type="spellEnd"/>
      <w:r w:rsidRPr="008A2108">
        <w:rPr>
          <w:rFonts w:ascii="Times New Roman" w:hAnsi="Times New Roman" w:cs="Times New Roman"/>
          <w:sz w:val="24"/>
          <w:szCs w:val="24"/>
        </w:rPr>
        <w:t xml:space="preserve"> phenomenology that understands every animal to possess some degree of agency, a capability which extends to reception of—and consequent adjustment to—the other’s </w:t>
      </w:r>
      <w:r w:rsidR="00907FAB">
        <w:rPr>
          <w:rFonts w:ascii="Times New Roman" w:hAnsi="Times New Roman" w:cs="Times New Roman"/>
          <w:sz w:val="24"/>
          <w:szCs w:val="24"/>
        </w:rPr>
        <w:t xml:space="preserve">own intentions and </w:t>
      </w:r>
      <w:r w:rsidRPr="008A2108">
        <w:rPr>
          <w:rFonts w:ascii="Times New Roman" w:hAnsi="Times New Roman" w:cs="Times New Roman"/>
          <w:sz w:val="24"/>
          <w:szCs w:val="24"/>
        </w:rPr>
        <w:t xml:space="preserve">experience. As Shapiro explains, we can use such a kinesthetic empathy to bridge human and animal being. Indeed, we can understand the mutual recognition of animate agency—as informing, energizing and transforming </w:t>
      </w:r>
      <w:r w:rsidR="00907FAB">
        <w:rPr>
          <w:rFonts w:ascii="Times New Roman" w:hAnsi="Times New Roman" w:cs="Times New Roman"/>
          <w:sz w:val="24"/>
          <w:szCs w:val="24"/>
        </w:rPr>
        <w:t>th</w:t>
      </w:r>
      <w:r w:rsidR="00255085">
        <w:rPr>
          <w:rFonts w:ascii="Times New Roman" w:hAnsi="Times New Roman" w:cs="Times New Roman"/>
          <w:sz w:val="24"/>
          <w:szCs w:val="24"/>
        </w:rPr>
        <w:t>os</w:t>
      </w:r>
      <w:r w:rsidR="00907FAB">
        <w:rPr>
          <w:rFonts w:ascii="Times New Roman" w:hAnsi="Times New Roman" w:cs="Times New Roman"/>
          <w:sz w:val="24"/>
          <w:szCs w:val="24"/>
        </w:rPr>
        <w:t>e embodied</w:t>
      </w:r>
      <w:r w:rsidRPr="008A2108">
        <w:rPr>
          <w:rFonts w:ascii="Times New Roman" w:hAnsi="Times New Roman" w:cs="Times New Roman"/>
          <w:sz w:val="24"/>
          <w:szCs w:val="24"/>
        </w:rPr>
        <w:t xml:space="preserve"> interaction</w:t>
      </w:r>
      <w:r w:rsidR="00255085">
        <w:rPr>
          <w:rFonts w:ascii="Times New Roman" w:hAnsi="Times New Roman" w:cs="Times New Roman"/>
          <w:sz w:val="24"/>
          <w:szCs w:val="24"/>
        </w:rPr>
        <w:t>s</w:t>
      </w:r>
      <w:r w:rsidR="00907FAB">
        <w:rPr>
          <w:rFonts w:ascii="Times New Roman" w:hAnsi="Times New Roman" w:cs="Times New Roman"/>
          <w:sz w:val="24"/>
          <w:szCs w:val="24"/>
        </w:rPr>
        <w:t xml:space="preserve"> which nurture the self </w:t>
      </w:r>
      <w:r w:rsidRPr="008A2108">
        <w:rPr>
          <w:rFonts w:ascii="Times New Roman" w:hAnsi="Times New Roman" w:cs="Times New Roman"/>
          <w:sz w:val="24"/>
          <w:szCs w:val="24"/>
        </w:rPr>
        <w:t xml:space="preserve">—to be constitutive of the </w:t>
      </w:r>
      <w:bookmarkStart w:id="0" w:name="_GoBack"/>
      <w:bookmarkEnd w:id="0"/>
      <w:r w:rsidRPr="008A2108">
        <w:rPr>
          <w:rFonts w:ascii="Times New Roman" w:hAnsi="Times New Roman" w:cs="Times New Roman"/>
          <w:sz w:val="24"/>
          <w:szCs w:val="24"/>
        </w:rPr>
        <w:t xml:space="preserve">cross-species communion which makes Earth feel like “our common home.”    </w:t>
      </w:r>
    </w:p>
    <w:p w:rsidR="00752292" w:rsidRPr="008A2108" w:rsidRDefault="00752292" w:rsidP="002413B5">
      <w:pPr>
        <w:spacing w:line="480" w:lineRule="auto"/>
      </w:pPr>
    </w:p>
    <w:sectPr w:rsidR="00752292" w:rsidRPr="008A2108" w:rsidSect="002413B5">
      <w:headerReference w:type="default" r:id="rId8"/>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0A88" w:rsidRDefault="00AE0A88" w:rsidP="002F17DE">
      <w:pPr>
        <w:spacing w:after="0" w:line="240" w:lineRule="auto"/>
      </w:pPr>
      <w:r>
        <w:separator/>
      </w:r>
    </w:p>
  </w:endnote>
  <w:endnote w:type="continuationSeparator" w:id="0">
    <w:p w:rsidR="00AE0A88" w:rsidRDefault="00AE0A88" w:rsidP="002F17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1845850"/>
      <w:docPartObj>
        <w:docPartGallery w:val="Page Numbers (Bottom of Page)"/>
        <w:docPartUnique/>
      </w:docPartObj>
    </w:sdtPr>
    <w:sdtEndPr>
      <w:rPr>
        <w:noProof/>
      </w:rPr>
    </w:sdtEndPr>
    <w:sdtContent>
      <w:p w:rsidR="00907FAB" w:rsidRDefault="001A1FAD">
        <w:pPr>
          <w:pStyle w:val="Footer"/>
          <w:jc w:val="right"/>
        </w:pPr>
        <w:r>
          <w:fldChar w:fldCharType="begin"/>
        </w:r>
        <w:r w:rsidR="00907FAB">
          <w:instrText xml:space="preserve"> PAGE   \* MERGEFORMAT </w:instrText>
        </w:r>
        <w:r>
          <w:fldChar w:fldCharType="separate"/>
        </w:r>
        <w:r w:rsidR="009D4407">
          <w:rPr>
            <w:noProof/>
          </w:rPr>
          <w:t>1</w:t>
        </w:r>
        <w:r>
          <w:rPr>
            <w:noProof/>
          </w:rPr>
          <w:fldChar w:fldCharType="end"/>
        </w:r>
      </w:p>
    </w:sdtContent>
  </w:sdt>
  <w:p w:rsidR="00907FAB" w:rsidRDefault="00907F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0A88" w:rsidRDefault="00AE0A88" w:rsidP="002F17DE">
      <w:pPr>
        <w:spacing w:after="0" w:line="240" w:lineRule="auto"/>
      </w:pPr>
      <w:r>
        <w:separator/>
      </w:r>
    </w:p>
  </w:footnote>
  <w:footnote w:type="continuationSeparator" w:id="0">
    <w:p w:rsidR="00AE0A88" w:rsidRDefault="00AE0A88" w:rsidP="002F17DE">
      <w:pPr>
        <w:spacing w:after="0" w:line="240" w:lineRule="auto"/>
      </w:pPr>
      <w:r>
        <w:continuationSeparator/>
      </w:r>
    </w:p>
  </w:footnote>
  <w:footnote w:id="1">
    <w:p w:rsidR="00907FAB" w:rsidRDefault="00907FAB">
      <w:pPr>
        <w:pStyle w:val="FootnoteText"/>
      </w:pPr>
      <w:r>
        <w:rPr>
          <w:rStyle w:val="FootnoteReference"/>
        </w:rPr>
        <w:footnoteRef/>
      </w:r>
      <w:r>
        <w:t xml:space="preserve"> Anna L. Peterson, </w:t>
      </w:r>
      <w:r w:rsidRPr="000E68F1">
        <w:rPr>
          <w:i/>
        </w:rPr>
        <w:t>Being Animal: Beasts and Boundaries in Nature Ethics</w:t>
      </w:r>
      <w:r>
        <w:t xml:space="preserve"> (New York: Columbia University Press, 2013), 18. </w:t>
      </w:r>
    </w:p>
  </w:footnote>
  <w:footnote w:id="2">
    <w:p w:rsidR="00907FAB" w:rsidRDefault="00907FAB">
      <w:pPr>
        <w:pStyle w:val="FootnoteText"/>
      </w:pPr>
      <w:r w:rsidRPr="009E5315">
        <w:rPr>
          <w:rStyle w:val="FootnoteReference"/>
        </w:rPr>
        <w:footnoteRef/>
      </w:r>
      <w:r w:rsidRPr="009E5315">
        <w:t xml:space="preserve"> Pope Francis, </w:t>
      </w:r>
      <w:proofErr w:type="spellStart"/>
      <w:r w:rsidRPr="009E5315">
        <w:rPr>
          <w:i/>
        </w:rPr>
        <w:t>Laudato</w:t>
      </w:r>
      <w:proofErr w:type="spellEnd"/>
      <w:r w:rsidRPr="009E5315">
        <w:rPr>
          <w:i/>
        </w:rPr>
        <w:t xml:space="preserve"> </w:t>
      </w:r>
      <w:proofErr w:type="spellStart"/>
      <w:r w:rsidRPr="009E5315">
        <w:rPr>
          <w:i/>
        </w:rPr>
        <w:t>Sí</w:t>
      </w:r>
      <w:proofErr w:type="spellEnd"/>
      <w:r w:rsidRPr="009E5315">
        <w:rPr>
          <w:i/>
        </w:rPr>
        <w:t>: On Care for Our Common Home</w:t>
      </w:r>
      <w:r w:rsidRPr="009E5315">
        <w:t xml:space="preserve">, No. 155, </w:t>
      </w:r>
      <w:hyperlink r:id="rId1" w:history="1">
        <w:r w:rsidRPr="009E5315">
          <w:rPr>
            <w:rStyle w:val="Hyperlink"/>
            <w:color w:val="auto"/>
          </w:rPr>
          <w:t>http://w2.vatican.va/content/francesco/en/events/event.dir.html/content/vaticanevents/en/2015/6/18/laudatosi.html</w:t>
        </w:r>
      </w:hyperlink>
      <w:r w:rsidRPr="009E5315">
        <w:t xml:space="preserve"> (accessed January 31, 2016). </w:t>
      </w:r>
    </w:p>
  </w:footnote>
  <w:footnote w:id="3">
    <w:p w:rsidR="00907FAB" w:rsidRDefault="00907FAB">
      <w:pPr>
        <w:pStyle w:val="FootnoteText"/>
      </w:pPr>
      <w:r>
        <w:rPr>
          <w:rStyle w:val="FootnoteReference"/>
        </w:rPr>
        <w:footnoteRef/>
      </w:r>
      <w:r>
        <w:t xml:space="preserve"> Ibid., No. 216. </w:t>
      </w:r>
    </w:p>
  </w:footnote>
  <w:footnote w:id="4">
    <w:p w:rsidR="00907FAB" w:rsidRDefault="00907FAB">
      <w:pPr>
        <w:pStyle w:val="FootnoteText"/>
      </w:pPr>
      <w:r>
        <w:rPr>
          <w:rStyle w:val="FootnoteReference"/>
        </w:rPr>
        <w:footnoteRef/>
      </w:r>
      <w:r>
        <w:t xml:space="preserve"> Ibid., No. 11. </w:t>
      </w:r>
    </w:p>
  </w:footnote>
  <w:footnote w:id="5">
    <w:p w:rsidR="00907FAB" w:rsidRDefault="00907FAB">
      <w:pPr>
        <w:pStyle w:val="FootnoteText"/>
      </w:pPr>
      <w:r>
        <w:rPr>
          <w:rStyle w:val="FootnoteReference"/>
        </w:rPr>
        <w:footnoteRef/>
      </w:r>
      <w:r>
        <w:t xml:space="preserve"> Ibid., Nos. 83, 88. </w:t>
      </w:r>
    </w:p>
  </w:footnote>
  <w:footnote w:id="6">
    <w:p w:rsidR="00907FAB" w:rsidRDefault="00907FAB">
      <w:pPr>
        <w:pStyle w:val="FootnoteText"/>
      </w:pPr>
      <w:r>
        <w:rPr>
          <w:rStyle w:val="FootnoteReference"/>
        </w:rPr>
        <w:footnoteRef/>
      </w:r>
      <w:r>
        <w:t xml:space="preserve"> Ibid., No. 240. </w:t>
      </w:r>
    </w:p>
  </w:footnote>
  <w:footnote w:id="7">
    <w:p w:rsidR="00907FAB" w:rsidRDefault="00907FAB">
      <w:pPr>
        <w:pStyle w:val="FootnoteText"/>
      </w:pPr>
      <w:r>
        <w:rPr>
          <w:rStyle w:val="FootnoteReference"/>
        </w:rPr>
        <w:footnoteRef/>
      </w:r>
      <w:r>
        <w:t xml:space="preserve"> Ibid., Nos. 97, 98, 100. </w:t>
      </w:r>
    </w:p>
  </w:footnote>
  <w:footnote w:id="8">
    <w:p w:rsidR="00907FAB" w:rsidRDefault="00907FAB">
      <w:pPr>
        <w:pStyle w:val="FootnoteText"/>
      </w:pPr>
      <w:r>
        <w:rPr>
          <w:rStyle w:val="FootnoteReference"/>
        </w:rPr>
        <w:footnoteRef/>
      </w:r>
      <w:r>
        <w:t xml:space="preserve"> Ibid., Nos. 77, 88. </w:t>
      </w:r>
    </w:p>
  </w:footnote>
  <w:footnote w:id="9">
    <w:p w:rsidR="00907FAB" w:rsidRDefault="00907FAB">
      <w:pPr>
        <w:pStyle w:val="FootnoteText"/>
      </w:pPr>
      <w:r>
        <w:rPr>
          <w:rStyle w:val="FootnoteReference"/>
        </w:rPr>
        <w:footnoteRef/>
      </w:r>
      <w:r>
        <w:t xml:space="preserve"> Ibid., No. 77. </w:t>
      </w:r>
    </w:p>
  </w:footnote>
  <w:footnote w:id="10">
    <w:p w:rsidR="00907FAB" w:rsidRDefault="00907FAB">
      <w:pPr>
        <w:pStyle w:val="FootnoteText"/>
      </w:pPr>
      <w:r>
        <w:rPr>
          <w:rStyle w:val="FootnoteReference"/>
        </w:rPr>
        <w:footnoteRef/>
      </w:r>
      <w:r>
        <w:t xml:space="preserve"> Ibid., No. 34. </w:t>
      </w:r>
    </w:p>
  </w:footnote>
  <w:footnote w:id="11">
    <w:p w:rsidR="00907FAB" w:rsidRDefault="00907FAB">
      <w:pPr>
        <w:pStyle w:val="FootnoteText"/>
      </w:pPr>
      <w:r>
        <w:rPr>
          <w:rStyle w:val="FootnoteReference"/>
        </w:rPr>
        <w:footnoteRef/>
      </w:r>
      <w:r>
        <w:t xml:space="preserve"> Ibid., Nos. 138, 240. </w:t>
      </w:r>
    </w:p>
  </w:footnote>
  <w:footnote w:id="12">
    <w:p w:rsidR="00907FAB" w:rsidRDefault="00907FAB">
      <w:pPr>
        <w:pStyle w:val="FootnoteText"/>
      </w:pPr>
      <w:r>
        <w:rPr>
          <w:rStyle w:val="FootnoteReference"/>
        </w:rPr>
        <w:footnoteRef/>
      </w:r>
      <w:r>
        <w:t xml:space="preserve"> Ibid., Nos. 77, 80. </w:t>
      </w:r>
    </w:p>
  </w:footnote>
  <w:footnote w:id="13">
    <w:p w:rsidR="00907FAB" w:rsidRDefault="00907FAB">
      <w:pPr>
        <w:pStyle w:val="FootnoteText"/>
      </w:pPr>
      <w:r>
        <w:rPr>
          <w:rStyle w:val="FootnoteReference"/>
        </w:rPr>
        <w:footnoteRef/>
      </w:r>
      <w:r>
        <w:t xml:space="preserve"> Ibid., Nos. 221, 140, 33. </w:t>
      </w:r>
    </w:p>
  </w:footnote>
  <w:footnote w:id="14">
    <w:p w:rsidR="00907FAB" w:rsidRDefault="00907FAB">
      <w:pPr>
        <w:pStyle w:val="FootnoteText"/>
      </w:pPr>
      <w:r>
        <w:rPr>
          <w:rStyle w:val="FootnoteReference"/>
        </w:rPr>
        <w:footnoteRef/>
      </w:r>
      <w:r>
        <w:t xml:space="preserve"> Ibid., No. 86. </w:t>
      </w:r>
    </w:p>
  </w:footnote>
  <w:footnote w:id="15">
    <w:p w:rsidR="00907FAB" w:rsidRDefault="00907FAB">
      <w:pPr>
        <w:pStyle w:val="FootnoteText"/>
      </w:pPr>
      <w:r>
        <w:rPr>
          <w:rStyle w:val="FootnoteReference"/>
        </w:rPr>
        <w:footnoteRef/>
      </w:r>
      <w:r>
        <w:t xml:space="preserve"> Ibid., No. 69. (emphasis original)</w:t>
      </w:r>
    </w:p>
  </w:footnote>
  <w:footnote w:id="16">
    <w:p w:rsidR="00907FAB" w:rsidRDefault="00907FAB">
      <w:pPr>
        <w:pStyle w:val="FootnoteText"/>
      </w:pPr>
      <w:r>
        <w:rPr>
          <w:rStyle w:val="FootnoteReference"/>
        </w:rPr>
        <w:footnoteRef/>
      </w:r>
      <w:r>
        <w:t xml:space="preserve"> Ibid., No. 246. </w:t>
      </w:r>
    </w:p>
  </w:footnote>
  <w:footnote w:id="17">
    <w:p w:rsidR="00907FAB" w:rsidRPr="00925639" w:rsidRDefault="00907FAB">
      <w:pPr>
        <w:pStyle w:val="FootnoteText"/>
        <w:rPr>
          <w:color w:val="C00000"/>
        </w:rPr>
      </w:pPr>
      <w:r>
        <w:rPr>
          <w:rStyle w:val="FootnoteReference"/>
        </w:rPr>
        <w:footnoteRef/>
      </w:r>
      <w:r>
        <w:t xml:space="preserve"> </w:t>
      </w:r>
      <w:r w:rsidRPr="00E343EC">
        <w:t xml:space="preserve">Pontifical Council for Justice and Peace, Compendium of the Social Doctrine of the Church, No. 133.  </w:t>
      </w:r>
      <w:hyperlink r:id="rId2" w:history="1">
        <w:r w:rsidRPr="00E343EC">
          <w:rPr>
            <w:rStyle w:val="Hyperlink"/>
            <w:color w:val="auto"/>
          </w:rPr>
          <w:t>http://www.vatican.va/roman_curia/pontifical_councils/justpeace/documents/rc_pc_justpeace_doc_20060526_compendio-dott-soc_en.html</w:t>
        </w:r>
      </w:hyperlink>
      <w:r w:rsidRPr="00E343EC">
        <w:t xml:space="preserve"> </w:t>
      </w:r>
      <w:r>
        <w:t>(accessed January 31, 2016).</w:t>
      </w:r>
    </w:p>
  </w:footnote>
  <w:footnote w:id="18">
    <w:p w:rsidR="00907FAB" w:rsidRDefault="00907FAB">
      <w:pPr>
        <w:pStyle w:val="FootnoteText"/>
      </w:pPr>
      <w:r>
        <w:rPr>
          <w:rStyle w:val="FootnoteReference"/>
        </w:rPr>
        <w:footnoteRef/>
      </w:r>
      <w:r>
        <w:t xml:space="preserve"> Pope Francis, </w:t>
      </w:r>
      <w:proofErr w:type="spellStart"/>
      <w:r w:rsidRPr="00C95996">
        <w:rPr>
          <w:i/>
        </w:rPr>
        <w:t>Laudato</w:t>
      </w:r>
      <w:proofErr w:type="spellEnd"/>
      <w:r w:rsidRPr="00C95996">
        <w:rPr>
          <w:i/>
        </w:rPr>
        <w:t xml:space="preserve"> </w:t>
      </w:r>
      <w:proofErr w:type="spellStart"/>
      <w:r w:rsidRPr="00C95996">
        <w:rPr>
          <w:i/>
        </w:rPr>
        <w:t>Sí</w:t>
      </w:r>
      <w:proofErr w:type="spellEnd"/>
      <w:r>
        <w:t xml:space="preserve">, No. 42. </w:t>
      </w:r>
    </w:p>
  </w:footnote>
  <w:footnote w:id="19">
    <w:p w:rsidR="00907FAB" w:rsidRDefault="00907FAB">
      <w:pPr>
        <w:pStyle w:val="FootnoteText"/>
      </w:pPr>
      <w:r>
        <w:rPr>
          <w:rStyle w:val="FootnoteReference"/>
        </w:rPr>
        <w:footnoteRef/>
      </w:r>
      <w:r>
        <w:t xml:space="preserve"> Ibid., No. 82. </w:t>
      </w:r>
    </w:p>
  </w:footnote>
  <w:footnote w:id="20">
    <w:p w:rsidR="00907FAB" w:rsidRPr="00D90DD4" w:rsidRDefault="00907FAB">
      <w:pPr>
        <w:pStyle w:val="FootnoteText"/>
      </w:pPr>
      <w:r w:rsidRPr="00D90DD4">
        <w:rPr>
          <w:rStyle w:val="FootnoteReference"/>
        </w:rPr>
        <w:footnoteRef/>
      </w:r>
      <w:r w:rsidRPr="00D90DD4">
        <w:t xml:space="preserve"> Ibid., No. 83. </w:t>
      </w:r>
    </w:p>
  </w:footnote>
  <w:footnote w:id="21">
    <w:p w:rsidR="00907FAB" w:rsidRDefault="00907FAB">
      <w:pPr>
        <w:pStyle w:val="FootnoteText"/>
      </w:pPr>
      <w:r>
        <w:rPr>
          <w:rStyle w:val="FootnoteReference"/>
        </w:rPr>
        <w:footnoteRef/>
      </w:r>
      <w:r>
        <w:t xml:space="preserve"> Ibid., Nos. 43, 65, 90, 106, 139. </w:t>
      </w:r>
    </w:p>
  </w:footnote>
  <w:footnote w:id="22">
    <w:p w:rsidR="00907FAB" w:rsidRDefault="00907FAB">
      <w:pPr>
        <w:pStyle w:val="FootnoteText"/>
      </w:pPr>
      <w:r>
        <w:rPr>
          <w:rStyle w:val="FootnoteReference"/>
        </w:rPr>
        <w:footnoteRef/>
      </w:r>
      <w:r>
        <w:t xml:space="preserve"> Ibid., Nos. 58, 240. </w:t>
      </w:r>
    </w:p>
  </w:footnote>
  <w:footnote w:id="23">
    <w:p w:rsidR="00907FAB" w:rsidRDefault="00907FAB">
      <w:pPr>
        <w:pStyle w:val="FootnoteText"/>
      </w:pPr>
      <w:r>
        <w:rPr>
          <w:rStyle w:val="FootnoteReference"/>
        </w:rPr>
        <w:footnoteRef/>
      </w:r>
      <w:r>
        <w:t xml:space="preserve"> Ibid., Nos. 228, 231-232. </w:t>
      </w:r>
    </w:p>
  </w:footnote>
  <w:footnote w:id="24">
    <w:p w:rsidR="00907FAB" w:rsidRDefault="00907FAB">
      <w:pPr>
        <w:pStyle w:val="FootnoteText"/>
      </w:pPr>
      <w:r>
        <w:rPr>
          <w:rStyle w:val="FootnoteReference"/>
        </w:rPr>
        <w:footnoteRef/>
      </w:r>
      <w:r>
        <w:t xml:space="preserve"> Ibid., Nos. 226, 233. </w:t>
      </w:r>
    </w:p>
  </w:footnote>
  <w:footnote w:id="25">
    <w:p w:rsidR="00907FAB" w:rsidRDefault="00907FAB">
      <w:pPr>
        <w:pStyle w:val="FootnoteText"/>
      </w:pPr>
      <w:r>
        <w:rPr>
          <w:rStyle w:val="FootnoteReference"/>
        </w:rPr>
        <w:footnoteRef/>
      </w:r>
      <w:r>
        <w:t xml:space="preserve"> Ibid., No. 83. </w:t>
      </w:r>
    </w:p>
  </w:footnote>
  <w:footnote w:id="26">
    <w:p w:rsidR="00907FAB" w:rsidRDefault="00907FAB">
      <w:pPr>
        <w:pStyle w:val="FootnoteText"/>
      </w:pPr>
      <w:r>
        <w:rPr>
          <w:rStyle w:val="FootnoteReference"/>
        </w:rPr>
        <w:footnoteRef/>
      </w:r>
      <w:r>
        <w:t xml:space="preserve"> Ibid., No. 125. </w:t>
      </w:r>
    </w:p>
  </w:footnote>
  <w:footnote w:id="27">
    <w:p w:rsidR="00907FAB" w:rsidRDefault="00907FAB">
      <w:pPr>
        <w:pStyle w:val="FootnoteText"/>
      </w:pPr>
      <w:r>
        <w:rPr>
          <w:rStyle w:val="FootnoteReference"/>
        </w:rPr>
        <w:footnoteRef/>
      </w:r>
      <w:r>
        <w:t xml:space="preserve"> Ibid., No. 119. </w:t>
      </w:r>
    </w:p>
  </w:footnote>
  <w:footnote w:id="28">
    <w:p w:rsidR="00907FAB" w:rsidRDefault="00907FAB">
      <w:pPr>
        <w:pStyle w:val="FootnoteText"/>
      </w:pPr>
      <w:r>
        <w:rPr>
          <w:rStyle w:val="FootnoteReference"/>
        </w:rPr>
        <w:footnoteRef/>
      </w:r>
      <w:r>
        <w:t xml:space="preserve"> Ibid., No. 220. </w:t>
      </w:r>
    </w:p>
  </w:footnote>
  <w:footnote w:id="29">
    <w:p w:rsidR="00907FAB" w:rsidRDefault="00907FAB">
      <w:pPr>
        <w:pStyle w:val="FootnoteText"/>
      </w:pPr>
      <w:r>
        <w:rPr>
          <w:rStyle w:val="FootnoteReference"/>
        </w:rPr>
        <w:footnoteRef/>
      </w:r>
      <w:r>
        <w:t xml:space="preserve"> Ibid., Nos. 118-199, 127, 213. </w:t>
      </w:r>
    </w:p>
  </w:footnote>
  <w:footnote w:id="30">
    <w:p w:rsidR="00907FAB" w:rsidRDefault="00907FAB">
      <w:pPr>
        <w:pStyle w:val="FootnoteText"/>
      </w:pPr>
      <w:r>
        <w:rPr>
          <w:rStyle w:val="FootnoteReference"/>
        </w:rPr>
        <w:footnoteRef/>
      </w:r>
      <w:r>
        <w:t xml:space="preserve"> Ibid., No. 117. </w:t>
      </w:r>
    </w:p>
  </w:footnote>
  <w:footnote w:id="31">
    <w:p w:rsidR="00907FAB" w:rsidRDefault="00907FAB">
      <w:pPr>
        <w:pStyle w:val="FootnoteText"/>
      </w:pPr>
      <w:r>
        <w:rPr>
          <w:rStyle w:val="FootnoteReference"/>
        </w:rPr>
        <w:footnoteRef/>
      </w:r>
      <w:r>
        <w:t xml:space="preserve"> Ibid., Nos. 14, 85, 91. </w:t>
      </w:r>
    </w:p>
  </w:footnote>
  <w:footnote w:id="32">
    <w:p w:rsidR="00907FAB" w:rsidRDefault="00907FAB">
      <w:pPr>
        <w:pStyle w:val="FootnoteText"/>
      </w:pPr>
      <w:r>
        <w:rPr>
          <w:rStyle w:val="FootnoteReference"/>
        </w:rPr>
        <w:footnoteRef/>
      </w:r>
      <w:r>
        <w:t xml:space="preserve"> Ibid., Nos. 11, 66. </w:t>
      </w:r>
    </w:p>
  </w:footnote>
  <w:footnote w:id="33">
    <w:p w:rsidR="00907FAB" w:rsidRDefault="00907FAB">
      <w:pPr>
        <w:pStyle w:val="FootnoteText"/>
      </w:pPr>
      <w:r>
        <w:rPr>
          <w:rStyle w:val="FootnoteReference"/>
        </w:rPr>
        <w:footnoteRef/>
      </w:r>
      <w:r>
        <w:t xml:space="preserve"> Ibid., No. 130. </w:t>
      </w:r>
    </w:p>
  </w:footnote>
  <w:footnote w:id="34">
    <w:p w:rsidR="00907FAB" w:rsidRPr="00E343EC" w:rsidRDefault="00907FAB">
      <w:pPr>
        <w:pStyle w:val="FootnoteText"/>
      </w:pPr>
      <w:r>
        <w:rPr>
          <w:rStyle w:val="FootnoteReference"/>
        </w:rPr>
        <w:footnoteRef/>
      </w:r>
      <w:r>
        <w:t xml:space="preserve"> </w:t>
      </w:r>
      <w:r w:rsidRPr="00E343EC">
        <w:t xml:space="preserve">Pope Benedict XVI, </w:t>
      </w:r>
      <w:r w:rsidRPr="00E343EC">
        <w:rPr>
          <w:i/>
        </w:rPr>
        <w:t xml:space="preserve">Caritas In </w:t>
      </w:r>
      <w:proofErr w:type="spellStart"/>
      <w:r w:rsidRPr="00E343EC">
        <w:rPr>
          <w:i/>
        </w:rPr>
        <w:t>Veritate</w:t>
      </w:r>
      <w:proofErr w:type="spellEnd"/>
      <w:r w:rsidRPr="00E343EC">
        <w:t xml:space="preserve">, No. 48. </w:t>
      </w:r>
      <w:hyperlink r:id="rId3" w:history="1">
        <w:r w:rsidRPr="00E343EC">
          <w:rPr>
            <w:rStyle w:val="Hyperlink"/>
            <w:color w:val="auto"/>
          </w:rPr>
          <w:t>http://w2.vatican.va/content/benedict-xvi/en/encyclicals/documents/hf_ben-xvi_enc_20090629_caritas-in-veritate.html</w:t>
        </w:r>
      </w:hyperlink>
      <w:r w:rsidRPr="00E343EC">
        <w:t xml:space="preserve"> (accessed January 31, 2016). </w:t>
      </w:r>
    </w:p>
  </w:footnote>
  <w:footnote w:id="35">
    <w:p w:rsidR="00907FAB" w:rsidRPr="00E666CD" w:rsidRDefault="00907FAB">
      <w:pPr>
        <w:pStyle w:val="FootnoteText"/>
        <w:rPr>
          <w:i/>
        </w:rPr>
      </w:pPr>
      <w:r>
        <w:rPr>
          <w:rStyle w:val="FootnoteReference"/>
        </w:rPr>
        <w:footnoteRef/>
      </w:r>
      <w:r>
        <w:t xml:space="preserve"> Christian Smith gives a general description of a similar moral approach in </w:t>
      </w:r>
      <w:r w:rsidRPr="001E3AA9">
        <w:rPr>
          <w:i/>
        </w:rPr>
        <w:t>What Is A Person?: Rethinking Humanity, Social Life, and the Moral Good from the Person Up</w:t>
      </w:r>
      <w:r>
        <w:t xml:space="preserve"> (Chicago: University of Chicago Press, 2010), 409-410. I offer a more detailed account of this moral logic as applied to the </w:t>
      </w:r>
      <w:proofErr w:type="spellStart"/>
      <w:r>
        <w:t>extrahuman</w:t>
      </w:r>
      <w:proofErr w:type="spellEnd"/>
      <w:r>
        <w:t xml:space="preserve"> sphere in “If You Want Responsibility, Build Relationship: A </w:t>
      </w:r>
      <w:proofErr w:type="spellStart"/>
      <w:r>
        <w:t>Personalist</w:t>
      </w:r>
      <w:proofErr w:type="spellEnd"/>
      <w:r>
        <w:t xml:space="preserve"> Approach to Benedict XVI’s Environmental Vision</w:t>
      </w:r>
      <w:r w:rsidRPr="00E666CD">
        <w:rPr>
          <w:i/>
        </w:rPr>
        <w:t xml:space="preserve">,” Environmental </w:t>
      </w:r>
    </w:p>
    <w:p w:rsidR="00907FAB" w:rsidRDefault="00907FAB">
      <w:pPr>
        <w:pStyle w:val="FootnoteText"/>
      </w:pPr>
      <w:r w:rsidRPr="00E666CD">
        <w:rPr>
          <w:i/>
        </w:rPr>
        <w:t>Justice and Climate Change: Assessing Pope Benedict XVI’s Ecological Vision for the Catholic Church in the United States</w:t>
      </w:r>
      <w:r>
        <w:t xml:space="preserve">, </w:t>
      </w:r>
      <w:proofErr w:type="spellStart"/>
      <w:r>
        <w:t>Jame</w:t>
      </w:r>
      <w:proofErr w:type="spellEnd"/>
      <w:r>
        <w:t xml:space="preserve"> Schaefer and Tobias </w:t>
      </w:r>
      <w:proofErr w:type="spellStart"/>
      <w:r>
        <w:t>Winright</w:t>
      </w:r>
      <w:proofErr w:type="spellEnd"/>
      <w:r>
        <w:t xml:space="preserve">, eds. (Lanham, MD: Lexington Books, 2013), 34-37. </w:t>
      </w:r>
      <w:r w:rsidRPr="008A2108">
        <w:rPr>
          <w:color w:val="C00000"/>
        </w:rPr>
        <w:t xml:space="preserve"> </w:t>
      </w:r>
    </w:p>
  </w:footnote>
  <w:footnote w:id="36">
    <w:p w:rsidR="00907FAB" w:rsidRPr="00840892" w:rsidRDefault="00907FAB">
      <w:pPr>
        <w:pStyle w:val="FootnoteText"/>
        <w:rPr>
          <w:color w:val="C00000"/>
        </w:rPr>
      </w:pPr>
      <w:r w:rsidRPr="00E343EC">
        <w:rPr>
          <w:rStyle w:val="FootnoteReference"/>
        </w:rPr>
        <w:footnoteRef/>
      </w:r>
      <w:r w:rsidRPr="00E343EC">
        <w:t xml:space="preserve"> Maurice </w:t>
      </w:r>
      <w:proofErr w:type="spellStart"/>
      <w:r w:rsidRPr="00E343EC">
        <w:t>Merleau</w:t>
      </w:r>
      <w:proofErr w:type="spellEnd"/>
      <w:r w:rsidRPr="00E343EC">
        <w:t>-</w:t>
      </w:r>
      <w:proofErr w:type="spellStart"/>
      <w:r w:rsidRPr="00E343EC">
        <w:t>Ponty</w:t>
      </w:r>
      <w:proofErr w:type="spellEnd"/>
      <w:r w:rsidRPr="00E343EC">
        <w:t xml:space="preserve">, </w:t>
      </w:r>
      <w:r w:rsidRPr="00E343EC">
        <w:rPr>
          <w:i/>
        </w:rPr>
        <w:t>Phenomenology of Perception</w:t>
      </w:r>
      <w:r w:rsidRPr="00E343EC">
        <w:t xml:space="preserve">, trans. Colin Smith (New York: </w:t>
      </w:r>
      <w:proofErr w:type="spellStart"/>
      <w:r w:rsidRPr="00E343EC">
        <w:t>Routledge</w:t>
      </w:r>
      <w:proofErr w:type="spellEnd"/>
      <w:r w:rsidRPr="00E343EC">
        <w:t xml:space="preserve"> Classics, 2002), 407, 475. </w:t>
      </w:r>
    </w:p>
  </w:footnote>
  <w:footnote w:id="37">
    <w:p w:rsidR="00907FAB" w:rsidRDefault="00907FAB">
      <w:pPr>
        <w:pStyle w:val="FootnoteText"/>
      </w:pPr>
      <w:r>
        <w:rPr>
          <w:rStyle w:val="FootnoteReference"/>
        </w:rPr>
        <w:footnoteRef/>
      </w:r>
      <w:r>
        <w:t xml:space="preserve"> Ibid., 438. </w:t>
      </w:r>
    </w:p>
  </w:footnote>
  <w:footnote w:id="38">
    <w:p w:rsidR="00907FAB" w:rsidRDefault="00907FAB">
      <w:pPr>
        <w:pStyle w:val="FootnoteText"/>
      </w:pPr>
      <w:r>
        <w:rPr>
          <w:rStyle w:val="FootnoteReference"/>
        </w:rPr>
        <w:footnoteRef/>
      </w:r>
      <w:r>
        <w:t xml:space="preserve"> Ibid., 270, 272. </w:t>
      </w:r>
    </w:p>
  </w:footnote>
  <w:footnote w:id="39">
    <w:p w:rsidR="00907FAB" w:rsidRDefault="00907FAB" w:rsidP="002F17DE">
      <w:pPr>
        <w:pStyle w:val="FootnoteText"/>
      </w:pPr>
      <w:r>
        <w:rPr>
          <w:rStyle w:val="FootnoteReference"/>
        </w:rPr>
        <w:footnoteRef/>
      </w:r>
      <w:r>
        <w:t xml:space="preserve"> Ibid., vii, 31, 67. </w:t>
      </w:r>
      <w:proofErr w:type="spellStart"/>
      <w:r w:rsidRPr="00AE434F">
        <w:t>Merleau</w:t>
      </w:r>
      <w:proofErr w:type="spellEnd"/>
      <w:r w:rsidRPr="00AE434F">
        <w:t>-</w:t>
      </w:r>
      <w:proofErr w:type="spellStart"/>
      <w:r w:rsidRPr="00AE434F">
        <w:t>Ponty</w:t>
      </w:r>
      <w:proofErr w:type="spellEnd"/>
      <w:r w:rsidRPr="00AE434F">
        <w:t xml:space="preserve"> does not explain this process. Referencing Edmund Husserl’s focus on the “essence”</w:t>
      </w:r>
      <w:r>
        <w:t xml:space="preserve"> (</w:t>
      </w:r>
      <w:r w:rsidRPr="00AE434F">
        <w:t>form or structure) revealed by a given object, in the sense of its constellation of essential features; he states only that it involves a “spontaneous arrangement” of</w:t>
      </w:r>
      <w:r>
        <w:t xml:space="preserve"> those features. </w:t>
      </w:r>
    </w:p>
  </w:footnote>
  <w:footnote w:id="40">
    <w:p w:rsidR="00907FAB" w:rsidRDefault="00907FAB">
      <w:pPr>
        <w:pStyle w:val="FootnoteText"/>
      </w:pPr>
      <w:r>
        <w:rPr>
          <w:rStyle w:val="FootnoteReference"/>
        </w:rPr>
        <w:footnoteRef/>
      </w:r>
      <w:r>
        <w:t xml:space="preserve"> Ibid., 160, 172. </w:t>
      </w:r>
    </w:p>
  </w:footnote>
  <w:footnote w:id="41">
    <w:p w:rsidR="00907FAB" w:rsidRDefault="00907FAB">
      <w:pPr>
        <w:pStyle w:val="FootnoteText"/>
      </w:pPr>
      <w:r>
        <w:rPr>
          <w:rStyle w:val="FootnoteReference"/>
        </w:rPr>
        <w:footnoteRef/>
      </w:r>
      <w:r>
        <w:t xml:space="preserve"> Ibid., 512. </w:t>
      </w:r>
    </w:p>
  </w:footnote>
  <w:footnote w:id="42">
    <w:p w:rsidR="00907FAB" w:rsidRPr="00831294" w:rsidRDefault="00907FAB">
      <w:pPr>
        <w:pStyle w:val="FootnoteText"/>
        <w:rPr>
          <w:i/>
        </w:rPr>
      </w:pPr>
      <w:r>
        <w:rPr>
          <w:rStyle w:val="FootnoteReference"/>
        </w:rPr>
        <w:footnoteRef/>
      </w:r>
      <w:r>
        <w:t xml:space="preserve"> Ibid., 448-449. </w:t>
      </w:r>
    </w:p>
  </w:footnote>
  <w:footnote w:id="43">
    <w:p w:rsidR="00907FAB" w:rsidRPr="00831294" w:rsidRDefault="00907FAB">
      <w:pPr>
        <w:pStyle w:val="FootnoteText"/>
      </w:pPr>
      <w:r w:rsidRPr="00D90DD4">
        <w:rPr>
          <w:rStyle w:val="FootnoteReference"/>
        </w:rPr>
        <w:footnoteRef/>
      </w:r>
      <w:r w:rsidRPr="00D90DD4">
        <w:t xml:space="preserve"> D</w:t>
      </w:r>
      <w:r w:rsidRPr="00831294">
        <w:t xml:space="preserve">avid B. Dillard-Wright, “Thinking Across Species Boundaries: General Sociality and Embodied Meaning,” </w:t>
      </w:r>
      <w:r w:rsidRPr="00831294">
        <w:rPr>
          <w:i/>
        </w:rPr>
        <w:t>Society and Animals</w:t>
      </w:r>
      <w:r w:rsidRPr="00831294">
        <w:t xml:space="preserve"> 17 (2009): 62. As </w:t>
      </w:r>
      <w:proofErr w:type="spellStart"/>
      <w:r w:rsidRPr="00831294">
        <w:t>Merleau</w:t>
      </w:r>
      <w:proofErr w:type="spellEnd"/>
      <w:r w:rsidRPr="00831294">
        <w:t>-</w:t>
      </w:r>
      <w:proofErr w:type="spellStart"/>
      <w:r w:rsidRPr="00831294">
        <w:t>Ponty</w:t>
      </w:r>
      <w:proofErr w:type="spellEnd"/>
      <w:r w:rsidRPr="00831294">
        <w:t xml:space="preserve"> explains, taken in itself, a gesture doesn’t offer up a meaning, but its sense can be “recaptured by an act on the spectator’s part” (</w:t>
      </w:r>
      <w:r w:rsidRPr="00831294">
        <w:rPr>
          <w:i/>
        </w:rPr>
        <w:t>Phenomenology of Perception</w:t>
      </w:r>
      <w:r w:rsidRPr="00831294">
        <w:t xml:space="preserve">, 215). </w:t>
      </w:r>
    </w:p>
  </w:footnote>
  <w:footnote w:id="44">
    <w:p w:rsidR="00907FAB" w:rsidRPr="00831294" w:rsidRDefault="00907FAB">
      <w:pPr>
        <w:pStyle w:val="FootnoteText"/>
      </w:pPr>
      <w:r>
        <w:rPr>
          <w:rStyle w:val="FootnoteReference"/>
        </w:rPr>
        <w:footnoteRef/>
      </w:r>
      <w:r>
        <w:t xml:space="preserve"> </w:t>
      </w:r>
      <w:proofErr w:type="spellStart"/>
      <w:r w:rsidRPr="00831294">
        <w:t>Merleau</w:t>
      </w:r>
      <w:proofErr w:type="spellEnd"/>
      <w:r w:rsidRPr="00831294">
        <w:t>-</w:t>
      </w:r>
      <w:proofErr w:type="spellStart"/>
      <w:r w:rsidRPr="00831294">
        <w:t>Ponty</w:t>
      </w:r>
      <w:proofErr w:type="spellEnd"/>
      <w:r w:rsidRPr="00831294">
        <w:t xml:space="preserve">, </w:t>
      </w:r>
      <w:r w:rsidRPr="00831294">
        <w:rPr>
          <w:i/>
        </w:rPr>
        <w:t>Phenomenology of Perception</w:t>
      </w:r>
      <w:r w:rsidRPr="00831294">
        <w:t xml:space="preserve">, 138. See also Dillard-Wright, “Thinking Across Boundaries,” 54-55. </w:t>
      </w:r>
    </w:p>
  </w:footnote>
  <w:footnote w:id="45">
    <w:p w:rsidR="00907FAB" w:rsidRPr="000D3087" w:rsidRDefault="00907FAB">
      <w:pPr>
        <w:pStyle w:val="FootnoteText"/>
        <w:rPr>
          <w:color w:val="C00000"/>
        </w:rPr>
      </w:pPr>
      <w:r w:rsidRPr="00C42BFA">
        <w:rPr>
          <w:rStyle w:val="FootnoteReference"/>
        </w:rPr>
        <w:footnoteRef/>
      </w:r>
      <w:r w:rsidRPr="00C42BFA">
        <w:t xml:space="preserve"> Dillard-Wright, “Thinking Across Boundaries,” 59</w:t>
      </w:r>
      <w:r>
        <w:t xml:space="preserve"> (emphasis original)</w:t>
      </w:r>
      <w:r w:rsidRPr="00C42BFA">
        <w:t xml:space="preserve">.  Dillard-Wright is here referencing Maurice </w:t>
      </w:r>
      <w:proofErr w:type="spellStart"/>
      <w:r w:rsidRPr="00C42BFA">
        <w:t>Merleau</w:t>
      </w:r>
      <w:proofErr w:type="spellEnd"/>
      <w:r w:rsidRPr="00C42BFA">
        <w:t>-</w:t>
      </w:r>
      <w:proofErr w:type="spellStart"/>
      <w:r w:rsidRPr="00C42BFA">
        <w:t>Ponty</w:t>
      </w:r>
      <w:proofErr w:type="spellEnd"/>
      <w:r w:rsidRPr="00C42BFA">
        <w:t xml:space="preserve">, </w:t>
      </w:r>
      <w:r w:rsidRPr="00C42BFA">
        <w:rPr>
          <w:i/>
        </w:rPr>
        <w:t>The Structure of Behavior</w:t>
      </w:r>
      <w:r w:rsidRPr="00C42BFA">
        <w:t xml:space="preserve">, trans. Alden L. Fischer (Boston: Beacon Press, 1963), 156. </w:t>
      </w:r>
    </w:p>
  </w:footnote>
  <w:footnote w:id="46">
    <w:p w:rsidR="00907FAB" w:rsidRDefault="00907FAB">
      <w:pPr>
        <w:pStyle w:val="FootnoteText"/>
      </w:pPr>
      <w:r>
        <w:rPr>
          <w:rStyle w:val="FootnoteReference"/>
        </w:rPr>
        <w:footnoteRef/>
      </w:r>
      <w:r>
        <w:t xml:space="preserve"> </w:t>
      </w:r>
      <w:proofErr w:type="spellStart"/>
      <w:r>
        <w:t>Merleau</w:t>
      </w:r>
      <w:proofErr w:type="spellEnd"/>
      <w:r>
        <w:t>-</w:t>
      </w:r>
      <w:proofErr w:type="spellStart"/>
      <w:r>
        <w:t>Ponty</w:t>
      </w:r>
      <w:proofErr w:type="spellEnd"/>
      <w:r>
        <w:t xml:space="preserve">, </w:t>
      </w:r>
      <w:r w:rsidRPr="001602CF">
        <w:rPr>
          <w:i/>
        </w:rPr>
        <w:t>Phenomenology of Perception</w:t>
      </w:r>
      <w:r>
        <w:t xml:space="preserve">, xxiii, 160. </w:t>
      </w:r>
    </w:p>
  </w:footnote>
  <w:footnote w:id="47">
    <w:p w:rsidR="00907FAB" w:rsidRPr="00C42BFA" w:rsidRDefault="00907FAB">
      <w:pPr>
        <w:pStyle w:val="FootnoteText"/>
      </w:pPr>
      <w:r>
        <w:rPr>
          <w:rStyle w:val="FootnoteReference"/>
        </w:rPr>
        <w:footnoteRef/>
      </w:r>
      <w:r>
        <w:t xml:space="preserve"> </w:t>
      </w:r>
      <w:r w:rsidRPr="00C42BFA">
        <w:t xml:space="preserve">David B. Dillard-Wright, </w:t>
      </w:r>
      <w:r w:rsidRPr="00C42BFA">
        <w:rPr>
          <w:i/>
        </w:rPr>
        <w:t xml:space="preserve">Ark of the Possible: The Animal World in </w:t>
      </w:r>
      <w:proofErr w:type="spellStart"/>
      <w:r w:rsidRPr="00C42BFA">
        <w:rPr>
          <w:i/>
        </w:rPr>
        <w:t>Merleau</w:t>
      </w:r>
      <w:proofErr w:type="spellEnd"/>
      <w:r w:rsidRPr="00C42BFA">
        <w:rPr>
          <w:i/>
        </w:rPr>
        <w:t>-</w:t>
      </w:r>
      <w:proofErr w:type="spellStart"/>
      <w:r w:rsidRPr="00C42BFA">
        <w:rPr>
          <w:i/>
        </w:rPr>
        <w:t>Ponty</w:t>
      </w:r>
      <w:proofErr w:type="spellEnd"/>
      <w:r w:rsidRPr="00C42BFA">
        <w:t xml:space="preserve"> (Lanham, MD: Lexington Books, 2009), 38-39. </w:t>
      </w:r>
    </w:p>
  </w:footnote>
  <w:footnote w:id="48">
    <w:p w:rsidR="00907FAB" w:rsidRDefault="00907FAB">
      <w:pPr>
        <w:pStyle w:val="FootnoteText"/>
      </w:pPr>
      <w:r>
        <w:rPr>
          <w:rStyle w:val="FootnoteReference"/>
        </w:rPr>
        <w:footnoteRef/>
      </w:r>
      <w:r>
        <w:t xml:space="preserve"> </w:t>
      </w:r>
      <w:proofErr w:type="spellStart"/>
      <w:r>
        <w:t>Z</w:t>
      </w:r>
      <w:r w:rsidRPr="00763A02">
        <w:t>ipporah</w:t>
      </w:r>
      <w:proofErr w:type="spellEnd"/>
      <w:r w:rsidRPr="00763A02">
        <w:t xml:space="preserve"> Weisberg, “Animal Agency: What It Is, What It Isn’t, and How It Can Be Realized,” </w:t>
      </w:r>
      <w:r w:rsidRPr="00763A02">
        <w:rPr>
          <w:i/>
        </w:rPr>
        <w:t>Animal Ethics and Philosophy: Questioning the Orthodoxy</w:t>
      </w:r>
      <w:r>
        <w:t xml:space="preserve">, </w:t>
      </w:r>
      <w:r w:rsidRPr="00763A02">
        <w:t xml:space="preserve">Elisa </w:t>
      </w:r>
      <w:proofErr w:type="spellStart"/>
      <w:r w:rsidRPr="00763A02">
        <w:t>Aaltola</w:t>
      </w:r>
      <w:proofErr w:type="spellEnd"/>
      <w:r w:rsidRPr="00763A02">
        <w:t xml:space="preserve"> and John Hadley, eds. (Lanham, MD: </w:t>
      </w:r>
      <w:proofErr w:type="spellStart"/>
      <w:r w:rsidRPr="00763A02">
        <w:t>Rowman</w:t>
      </w:r>
      <w:proofErr w:type="spellEnd"/>
      <w:r w:rsidRPr="00763A02">
        <w:t xml:space="preserve"> and Littlefield, 2015), 66, 74-75. </w:t>
      </w:r>
    </w:p>
  </w:footnote>
  <w:footnote w:id="49">
    <w:p w:rsidR="00907FAB" w:rsidRPr="006E3813" w:rsidRDefault="00907FAB">
      <w:pPr>
        <w:pStyle w:val="FootnoteText"/>
        <w:rPr>
          <w:color w:val="C00000"/>
        </w:rPr>
      </w:pPr>
      <w:r w:rsidRPr="00763A02">
        <w:rPr>
          <w:rStyle w:val="FootnoteReference"/>
        </w:rPr>
        <w:footnoteRef/>
      </w:r>
      <w:r w:rsidRPr="00763A02">
        <w:t xml:space="preserve"> Paul W. Taylor, </w:t>
      </w:r>
      <w:r w:rsidRPr="00763A02">
        <w:rPr>
          <w:i/>
        </w:rPr>
        <w:t>Respect for Nature: A Theory of Environmental Ethics</w:t>
      </w:r>
      <w:r w:rsidRPr="00763A02">
        <w:t xml:space="preserve"> (Princeton, NJ: Princeton University Press, 1986), 122-123. </w:t>
      </w:r>
    </w:p>
  </w:footnote>
  <w:footnote w:id="50">
    <w:p w:rsidR="00907FAB" w:rsidRPr="006E3813" w:rsidRDefault="00907FAB">
      <w:pPr>
        <w:pStyle w:val="FootnoteText"/>
        <w:rPr>
          <w:color w:val="C00000"/>
        </w:rPr>
      </w:pPr>
      <w:r>
        <w:rPr>
          <w:rStyle w:val="FootnoteReference"/>
        </w:rPr>
        <w:footnoteRef/>
      </w:r>
      <w:r>
        <w:t xml:space="preserve"> </w:t>
      </w:r>
      <w:proofErr w:type="spellStart"/>
      <w:r w:rsidRPr="00763A02">
        <w:t>Merleau</w:t>
      </w:r>
      <w:proofErr w:type="spellEnd"/>
      <w:r w:rsidRPr="00763A02">
        <w:t>-</w:t>
      </w:r>
      <w:proofErr w:type="spellStart"/>
      <w:r w:rsidRPr="00763A02">
        <w:t>Ponty</w:t>
      </w:r>
      <w:proofErr w:type="spellEnd"/>
      <w:r w:rsidRPr="00763A02">
        <w:t xml:space="preserve">, </w:t>
      </w:r>
      <w:r w:rsidRPr="00763A02">
        <w:rPr>
          <w:i/>
        </w:rPr>
        <w:t>Phenomenology of Perception</w:t>
      </w:r>
      <w:r w:rsidRPr="00763A02">
        <w:t xml:space="preserve">, 394. </w:t>
      </w:r>
    </w:p>
  </w:footnote>
  <w:footnote w:id="51">
    <w:p w:rsidR="00907FAB" w:rsidRDefault="00907FAB">
      <w:pPr>
        <w:pStyle w:val="FootnoteText"/>
      </w:pPr>
      <w:r>
        <w:rPr>
          <w:rStyle w:val="FootnoteReference"/>
        </w:rPr>
        <w:footnoteRef/>
      </w:r>
      <w:r>
        <w:t xml:space="preserve"> Ibid., 111. (emphasis mine) </w:t>
      </w:r>
    </w:p>
  </w:footnote>
  <w:footnote w:id="52">
    <w:p w:rsidR="00907FAB" w:rsidRDefault="00907FAB">
      <w:pPr>
        <w:pStyle w:val="FootnoteText"/>
      </w:pPr>
      <w:r>
        <w:rPr>
          <w:rStyle w:val="FootnoteReference"/>
        </w:rPr>
        <w:footnoteRef/>
      </w:r>
      <w:r>
        <w:t xml:space="preserve"> Ibid., 394. </w:t>
      </w:r>
    </w:p>
  </w:footnote>
  <w:footnote w:id="53">
    <w:p w:rsidR="00907FAB" w:rsidRDefault="00907FAB">
      <w:pPr>
        <w:pStyle w:val="FootnoteText"/>
      </w:pPr>
      <w:r>
        <w:rPr>
          <w:rStyle w:val="FootnoteReference"/>
        </w:rPr>
        <w:footnoteRef/>
      </w:r>
      <w:r>
        <w:t xml:space="preserve"> Ibid., 214-215, 503. (emphasis mine) </w:t>
      </w:r>
    </w:p>
  </w:footnote>
  <w:footnote w:id="54">
    <w:p w:rsidR="00907FAB" w:rsidRDefault="00907FAB">
      <w:pPr>
        <w:pStyle w:val="FootnoteText"/>
      </w:pPr>
      <w:r>
        <w:rPr>
          <w:rStyle w:val="FootnoteReference"/>
        </w:rPr>
        <w:footnoteRef/>
      </w:r>
      <w:r>
        <w:t xml:space="preserve"> Ibid., 392. </w:t>
      </w:r>
    </w:p>
  </w:footnote>
  <w:footnote w:id="55">
    <w:p w:rsidR="00907FAB" w:rsidRDefault="00907FAB">
      <w:pPr>
        <w:pStyle w:val="FootnoteText"/>
      </w:pPr>
      <w:r>
        <w:rPr>
          <w:rStyle w:val="FootnoteReference"/>
        </w:rPr>
        <w:footnoteRef/>
      </w:r>
      <w:r>
        <w:t xml:space="preserve"> </w:t>
      </w:r>
      <w:r w:rsidRPr="009F0B09">
        <w:t>Ibid., 410.</w:t>
      </w:r>
    </w:p>
  </w:footnote>
  <w:footnote w:id="56">
    <w:p w:rsidR="00907FAB" w:rsidRDefault="00907FAB">
      <w:pPr>
        <w:pStyle w:val="FootnoteText"/>
      </w:pPr>
      <w:r>
        <w:rPr>
          <w:rStyle w:val="FootnoteReference"/>
        </w:rPr>
        <w:footnoteRef/>
      </w:r>
      <w:r>
        <w:t xml:space="preserve"> Ibid., 410, 412, 415. </w:t>
      </w:r>
    </w:p>
  </w:footnote>
  <w:footnote w:id="57">
    <w:p w:rsidR="00907FAB" w:rsidRDefault="00907FAB">
      <w:pPr>
        <w:pStyle w:val="FootnoteText"/>
      </w:pPr>
      <w:r>
        <w:rPr>
          <w:rStyle w:val="FootnoteReference"/>
        </w:rPr>
        <w:footnoteRef/>
      </w:r>
      <w:r>
        <w:t xml:space="preserve"> Ibid., 420. </w:t>
      </w:r>
    </w:p>
  </w:footnote>
  <w:footnote w:id="58">
    <w:p w:rsidR="00907FAB" w:rsidRDefault="00907FAB">
      <w:pPr>
        <w:pStyle w:val="FootnoteText"/>
      </w:pPr>
      <w:r>
        <w:rPr>
          <w:rStyle w:val="FootnoteReference"/>
        </w:rPr>
        <w:footnoteRef/>
      </w:r>
      <w:r>
        <w:t xml:space="preserve"> Ibid., 239, 520. </w:t>
      </w:r>
    </w:p>
  </w:footnote>
  <w:footnote w:id="59">
    <w:p w:rsidR="00907FAB" w:rsidRDefault="00907FAB">
      <w:pPr>
        <w:pStyle w:val="FootnoteText"/>
      </w:pPr>
      <w:r>
        <w:rPr>
          <w:rStyle w:val="FootnoteReference"/>
        </w:rPr>
        <w:footnoteRef/>
      </w:r>
      <w:r>
        <w:t xml:space="preserve"> Ibid., 153, 213, 369. </w:t>
      </w:r>
    </w:p>
  </w:footnote>
  <w:footnote w:id="60">
    <w:p w:rsidR="00907FAB" w:rsidRDefault="00907FAB">
      <w:pPr>
        <w:pStyle w:val="FootnoteText"/>
      </w:pPr>
      <w:r>
        <w:rPr>
          <w:rStyle w:val="FootnoteReference"/>
        </w:rPr>
        <w:footnoteRef/>
      </w:r>
      <w:r>
        <w:t xml:space="preserve"> Kenneth J. Shapiro, “Understanding Dogs through Kinesthetic Empathy, Social Construction, and History,” </w:t>
      </w:r>
      <w:proofErr w:type="spellStart"/>
      <w:r w:rsidRPr="003B64D9">
        <w:rPr>
          <w:i/>
        </w:rPr>
        <w:t>Anthrozoös</w:t>
      </w:r>
      <w:proofErr w:type="spellEnd"/>
      <w:r>
        <w:t xml:space="preserve"> 3, no. 3 (1990), “What Is It to Be a Dog?: A Qualitative Method for the Study of Animals Other than Humans,” </w:t>
      </w:r>
      <w:r w:rsidRPr="003B64D9">
        <w:rPr>
          <w:i/>
        </w:rPr>
        <w:t>The Humanistic Psychologist</w:t>
      </w:r>
      <w:r>
        <w:t xml:space="preserve"> 31, no. 4 (2003), “A Phenomenological Approach to the Study of Nonhuman Animals,” in </w:t>
      </w:r>
      <w:r w:rsidRPr="003B64D9">
        <w:rPr>
          <w:i/>
        </w:rPr>
        <w:t>Anthropomorphism, Anecdotes and Animals</w:t>
      </w:r>
      <w:r>
        <w:t xml:space="preserve">, eds. Robert W. Mitchell, Nicholas S. Thomson, and H. Lyn Miles (Albany, NY: State University of New York Press, 1997). </w:t>
      </w:r>
    </w:p>
  </w:footnote>
  <w:footnote w:id="61">
    <w:p w:rsidR="00907FAB" w:rsidRDefault="00907FAB" w:rsidP="002F17DE">
      <w:pPr>
        <w:pStyle w:val="FootnoteText"/>
      </w:pPr>
      <w:r>
        <w:rPr>
          <w:rStyle w:val="FootnoteReference"/>
        </w:rPr>
        <w:footnoteRef/>
      </w:r>
      <w:r>
        <w:t xml:space="preserve"> For example, </w:t>
      </w:r>
      <w:r w:rsidRPr="00380329">
        <w:t xml:space="preserve">Shapiro understands </w:t>
      </w:r>
      <w:r>
        <w:t>the application of</w:t>
      </w:r>
      <w:r w:rsidRPr="00380329">
        <w:t xml:space="preserve"> kinesthetic empathy </w:t>
      </w:r>
      <w:r>
        <w:t xml:space="preserve">to the human-animal relation </w:t>
      </w:r>
      <w:r w:rsidRPr="00380329">
        <w:t xml:space="preserve">to rely on a </w:t>
      </w:r>
      <w:proofErr w:type="spellStart"/>
      <w:r w:rsidRPr="00380329">
        <w:t>foreunderstanding</w:t>
      </w:r>
      <w:proofErr w:type="spellEnd"/>
      <w:r w:rsidRPr="00380329">
        <w:t xml:space="preserve"> of two hermeneutical texts, including the relevant construction of a species and traditional natural scientific findings regar</w:t>
      </w:r>
      <w:r>
        <w:t xml:space="preserve">ding a given animal individual. “The Human Science Study of Nonhuman Animals,” 29; “What Is It to Be a Dog?,” 92. See also “Understanding Dogs Through Kinesthetic Empathy,” 193, regarding the interpretative act and the investigator’s involvement in the hermeneutic circle. </w:t>
      </w:r>
      <w:r w:rsidRPr="00380329">
        <w:t xml:space="preserve"> </w:t>
      </w:r>
    </w:p>
  </w:footnote>
  <w:footnote w:id="62">
    <w:p w:rsidR="00907FAB" w:rsidRDefault="00907FAB">
      <w:pPr>
        <w:pStyle w:val="FootnoteText"/>
      </w:pPr>
      <w:r>
        <w:rPr>
          <w:rStyle w:val="FootnoteReference"/>
        </w:rPr>
        <w:footnoteRef/>
      </w:r>
      <w:r>
        <w:t xml:space="preserve"> Dillard-Wright, </w:t>
      </w:r>
      <w:r w:rsidRPr="005A3AD2">
        <w:rPr>
          <w:i/>
        </w:rPr>
        <w:t>Ark of the Possible</w:t>
      </w:r>
      <w:r>
        <w:t xml:space="preserve">, 44. </w:t>
      </w:r>
    </w:p>
  </w:footnote>
  <w:footnote w:id="63">
    <w:p w:rsidR="00907FAB" w:rsidRDefault="00907FAB">
      <w:pPr>
        <w:pStyle w:val="FootnoteText"/>
      </w:pPr>
      <w:r>
        <w:rPr>
          <w:rStyle w:val="FootnoteReference"/>
        </w:rPr>
        <w:footnoteRef/>
      </w:r>
      <w:r>
        <w:t xml:space="preserve"> Shapiro, “What Is It to Be a Dog?,” 90. </w:t>
      </w:r>
    </w:p>
  </w:footnote>
  <w:footnote w:id="64">
    <w:p w:rsidR="00907FAB" w:rsidRDefault="00907FAB">
      <w:pPr>
        <w:pStyle w:val="FootnoteText"/>
      </w:pPr>
      <w:r>
        <w:rPr>
          <w:rStyle w:val="FootnoteReference"/>
        </w:rPr>
        <w:footnoteRef/>
      </w:r>
      <w:r>
        <w:t xml:space="preserve"> Shapiro, “The Human Science Study of Nonhuman Animals,” 29. </w:t>
      </w:r>
    </w:p>
  </w:footnote>
  <w:footnote w:id="65">
    <w:p w:rsidR="00907FAB" w:rsidRDefault="00907FAB">
      <w:pPr>
        <w:pStyle w:val="FootnoteText"/>
      </w:pPr>
      <w:r>
        <w:rPr>
          <w:rStyle w:val="FootnoteReference"/>
        </w:rPr>
        <w:footnoteRef/>
      </w:r>
      <w:r>
        <w:t xml:space="preserve"> </w:t>
      </w:r>
      <w:r w:rsidRPr="005C640C">
        <w:t>In addition to Shapiro, notable phenomenological investigations of animal agency include</w:t>
      </w:r>
      <w:r>
        <w:t xml:space="preserve"> the now-classic Hans Jonas, </w:t>
      </w:r>
      <w:r w:rsidRPr="00854DFC">
        <w:rPr>
          <w:i/>
        </w:rPr>
        <w:t>The Phenomenon of Life: Toward a Philosophical Biology</w:t>
      </w:r>
      <w:r w:rsidRPr="00854DFC">
        <w:t xml:space="preserve"> (New York, Harper &amp; Row, 1966)</w:t>
      </w:r>
      <w:r>
        <w:t>; as well as the recent works</w:t>
      </w:r>
      <w:r w:rsidRPr="005C640C">
        <w:t xml:space="preserve"> Leslie Irvine</w:t>
      </w:r>
      <w:r>
        <w:t>,</w:t>
      </w:r>
      <w:r w:rsidRPr="005C640C">
        <w:t xml:space="preserve"> </w:t>
      </w:r>
      <w:r w:rsidRPr="005C640C">
        <w:rPr>
          <w:i/>
        </w:rPr>
        <w:t>If You Tame Me: Understanding Our Connection with Animals</w:t>
      </w:r>
      <w:r w:rsidRPr="005C640C">
        <w:t xml:space="preserve">, </w:t>
      </w:r>
      <w:r>
        <w:t>f</w:t>
      </w:r>
      <w:r w:rsidRPr="005C640C">
        <w:t xml:space="preserve">oreword by Marc </w:t>
      </w:r>
      <w:proofErr w:type="spellStart"/>
      <w:r w:rsidRPr="005C640C">
        <w:t>Bekoff</w:t>
      </w:r>
      <w:proofErr w:type="spellEnd"/>
      <w:r>
        <w:t xml:space="preserve"> (Philadelphia: Temple University Press, 2004); Janet M. Alger and Steven F. Alger, </w:t>
      </w:r>
      <w:r w:rsidRPr="00725FC6">
        <w:rPr>
          <w:i/>
        </w:rPr>
        <w:t>Cat Culture: The Social World of a Cat Shelter</w:t>
      </w:r>
      <w:r w:rsidRPr="005C640C">
        <w:t xml:space="preserve"> (Philadelphia: Temple University Press, 2003)</w:t>
      </w:r>
      <w:r>
        <w:t>; and</w:t>
      </w:r>
      <w:r w:rsidRPr="005C640C">
        <w:t xml:space="preserve"> Marc </w:t>
      </w:r>
      <w:proofErr w:type="spellStart"/>
      <w:r w:rsidRPr="005C640C">
        <w:t>Bekoff</w:t>
      </w:r>
      <w:proofErr w:type="spellEnd"/>
      <w:r w:rsidRPr="005C640C">
        <w:t xml:space="preserve">, </w:t>
      </w:r>
      <w:r w:rsidRPr="00725FC6">
        <w:rPr>
          <w:i/>
        </w:rPr>
        <w:t>Animal Passions and Beastly Virtues: Reflections on Redecorating Nature</w:t>
      </w:r>
      <w:r w:rsidRPr="005C640C">
        <w:t xml:space="preserve">, foreword by Jane </w:t>
      </w:r>
      <w:proofErr w:type="spellStart"/>
      <w:r w:rsidRPr="005C640C">
        <w:t>Goodall</w:t>
      </w:r>
      <w:proofErr w:type="spellEnd"/>
      <w:r w:rsidRPr="005C640C">
        <w:t xml:space="preserve"> (Philadelphia: Temple University Press, 2006).</w:t>
      </w:r>
    </w:p>
  </w:footnote>
  <w:footnote w:id="66">
    <w:p w:rsidR="00907FAB" w:rsidRDefault="00907FAB">
      <w:pPr>
        <w:pStyle w:val="FootnoteText"/>
      </w:pPr>
      <w:r>
        <w:rPr>
          <w:rStyle w:val="FootnoteReference"/>
        </w:rPr>
        <w:footnoteRef/>
      </w:r>
      <w:r>
        <w:t xml:space="preserve"> Smith, </w:t>
      </w:r>
      <w:r w:rsidRPr="001E3AA9">
        <w:rPr>
          <w:i/>
        </w:rPr>
        <w:t>What Is A Person?</w:t>
      </w:r>
      <w:r>
        <w:t xml:space="preserve">, 15, 108-112. </w:t>
      </w:r>
    </w:p>
  </w:footnote>
  <w:footnote w:id="67">
    <w:p w:rsidR="00907FAB" w:rsidRDefault="00907FAB">
      <w:pPr>
        <w:pStyle w:val="FootnoteText"/>
      </w:pPr>
      <w:r>
        <w:rPr>
          <w:rStyle w:val="FootnoteReference"/>
        </w:rPr>
        <w:footnoteRef/>
      </w:r>
      <w:r>
        <w:t xml:space="preserve"> Peterson, </w:t>
      </w:r>
      <w:r w:rsidRPr="001E3AA9">
        <w:rPr>
          <w:i/>
        </w:rPr>
        <w:t>Being Animal</w:t>
      </w:r>
      <w:r>
        <w:t xml:space="preserve">, 149. </w:t>
      </w:r>
    </w:p>
  </w:footnote>
  <w:footnote w:id="68">
    <w:p w:rsidR="00907FAB" w:rsidRDefault="00907FAB">
      <w:pPr>
        <w:pStyle w:val="FootnoteText"/>
      </w:pPr>
      <w:r>
        <w:rPr>
          <w:rStyle w:val="FootnoteReference"/>
        </w:rPr>
        <w:footnoteRef/>
      </w:r>
      <w:r>
        <w:t xml:space="preserve"> Gene Myers, </w:t>
      </w:r>
      <w:r w:rsidRPr="00B7461D">
        <w:rPr>
          <w:i/>
        </w:rPr>
        <w:t>The Significance of Children and Animals: Social Development and Our Connections to Other Species</w:t>
      </w:r>
      <w:r>
        <w:t>, 2</w:t>
      </w:r>
      <w:r w:rsidRPr="001E3AA9">
        <w:rPr>
          <w:vertAlign w:val="superscript"/>
        </w:rPr>
        <w:t>nd</w:t>
      </w:r>
      <w:r>
        <w:t xml:space="preserve"> ed., rev. (West Lafayette, IN: Purdue University Press, 2007). </w:t>
      </w:r>
    </w:p>
  </w:footnote>
  <w:footnote w:id="69">
    <w:p w:rsidR="00907FAB" w:rsidRDefault="00907FAB">
      <w:pPr>
        <w:pStyle w:val="FootnoteText"/>
      </w:pPr>
      <w:r>
        <w:rPr>
          <w:rStyle w:val="FootnoteReference"/>
        </w:rPr>
        <w:footnoteRef/>
      </w:r>
      <w:r>
        <w:t xml:space="preserve"> Dillard-Wright, </w:t>
      </w:r>
      <w:r w:rsidRPr="00B7461D">
        <w:rPr>
          <w:i/>
        </w:rPr>
        <w:t>Ark of the Possible</w:t>
      </w:r>
      <w:r>
        <w:t>, 40; Weisberg, “Animal Agency,” 63-69.</w:t>
      </w:r>
    </w:p>
  </w:footnote>
  <w:footnote w:id="70">
    <w:p w:rsidR="00907FAB" w:rsidRDefault="00907FAB">
      <w:pPr>
        <w:pStyle w:val="FootnoteText"/>
      </w:pPr>
      <w:r>
        <w:rPr>
          <w:rStyle w:val="FootnoteReference"/>
        </w:rPr>
        <w:footnoteRef/>
      </w:r>
      <w:r>
        <w:t xml:space="preserve"> Cynthia Willett, </w:t>
      </w:r>
      <w:r w:rsidRPr="00B7461D">
        <w:rPr>
          <w:i/>
        </w:rPr>
        <w:t>Interspecies Ethics</w:t>
      </w:r>
      <w:r>
        <w:t xml:space="preserve"> (New York: Columbia University Press, 2014), 97. </w:t>
      </w:r>
    </w:p>
  </w:footnote>
  <w:footnote w:id="71">
    <w:p w:rsidR="00907FAB" w:rsidRDefault="00907FAB">
      <w:pPr>
        <w:pStyle w:val="FootnoteText"/>
      </w:pPr>
      <w:r>
        <w:rPr>
          <w:rStyle w:val="FootnoteReference"/>
        </w:rPr>
        <w:footnoteRef/>
      </w:r>
      <w:r>
        <w:t xml:space="preserve"> Pope Francis, </w:t>
      </w:r>
      <w:proofErr w:type="spellStart"/>
      <w:r w:rsidRPr="00907FAB">
        <w:rPr>
          <w:i/>
        </w:rPr>
        <w:t>Laudato</w:t>
      </w:r>
      <w:proofErr w:type="spellEnd"/>
      <w:r w:rsidRPr="00907FAB">
        <w:rPr>
          <w:i/>
        </w:rPr>
        <w:t xml:space="preserve"> </w:t>
      </w:r>
      <w:proofErr w:type="spellStart"/>
      <w:r w:rsidRPr="00907FAB">
        <w:rPr>
          <w:i/>
        </w:rPr>
        <w:t>Sí</w:t>
      </w:r>
      <w:proofErr w:type="spellEnd"/>
      <w:r>
        <w:t xml:space="preserve">, No. 210. </w:t>
      </w:r>
    </w:p>
  </w:footnote>
  <w:footnote w:id="72">
    <w:p w:rsidR="00907FAB" w:rsidRDefault="00907FAB">
      <w:pPr>
        <w:pStyle w:val="FootnoteText"/>
      </w:pPr>
      <w:r>
        <w:rPr>
          <w:rStyle w:val="FootnoteReference"/>
        </w:rPr>
        <w:footnoteRef/>
      </w:r>
      <w:r>
        <w:t xml:space="preserve"> In regard to empathy and habit-habitat unity, see Shapiro, “The Human Science Study of Nonhuman Animals,” 32, 40; in regard to the priority of domesticated animals, see </w:t>
      </w:r>
      <w:r w:rsidRPr="00DE7189">
        <w:t xml:space="preserve">Jay McDaniel, “Practicing the Presence of God: A Christian Approach to Animals,” </w:t>
      </w:r>
      <w:r w:rsidRPr="00DE7189">
        <w:rPr>
          <w:i/>
        </w:rPr>
        <w:t>A Communion of Subjects: Animals in Religion, Science, and Ethics</w:t>
      </w:r>
      <w:r>
        <w:t xml:space="preserve">, Paul </w:t>
      </w:r>
      <w:proofErr w:type="spellStart"/>
      <w:r>
        <w:t>Waldau</w:t>
      </w:r>
      <w:proofErr w:type="spellEnd"/>
      <w:r>
        <w:t xml:space="preserve"> and Kimberley Patton, eds. (New York: Columbia University Press, 2006), </w:t>
      </w:r>
      <w:r w:rsidRPr="00DE7189">
        <w:t>142</w:t>
      </w:r>
      <w:r>
        <w:t xml:space="preserve">; in regard to transparency and reparation, see Taylor, </w:t>
      </w:r>
      <w:r w:rsidRPr="00DE7189">
        <w:rPr>
          <w:i/>
        </w:rPr>
        <w:t>Respect for Nature</w:t>
      </w:r>
      <w:r>
        <w:t xml:space="preserve">, 210-211, 213 and 186-192; in regard to a small scale ethos, see Willett, </w:t>
      </w:r>
      <w:r w:rsidRPr="00662754">
        <w:rPr>
          <w:i/>
        </w:rPr>
        <w:t>Interspecies Ethics</w:t>
      </w:r>
      <w:r>
        <w:t xml:space="preserve">, 74; </w:t>
      </w:r>
      <w:proofErr w:type="spellStart"/>
      <w:r w:rsidRPr="00662754">
        <w:rPr>
          <w:i/>
        </w:rPr>
        <w:t>Laudato</w:t>
      </w:r>
      <w:proofErr w:type="spellEnd"/>
      <w:r w:rsidRPr="00662754">
        <w:rPr>
          <w:i/>
        </w:rPr>
        <w:t xml:space="preserve"> </w:t>
      </w:r>
      <w:proofErr w:type="spellStart"/>
      <w:r w:rsidRPr="00662754">
        <w:rPr>
          <w:i/>
        </w:rPr>
        <w:t>Sí</w:t>
      </w:r>
      <w:proofErr w:type="spellEnd"/>
      <w:r>
        <w:t xml:space="preserve"> itself endorses a precautionary principle in No. 186. </w:t>
      </w:r>
    </w:p>
  </w:footnote>
  <w:footnote w:id="73">
    <w:p w:rsidR="00907FAB" w:rsidRDefault="00907FAB">
      <w:pPr>
        <w:pStyle w:val="FootnoteText"/>
      </w:pPr>
      <w:r>
        <w:rPr>
          <w:rStyle w:val="FootnoteReference"/>
        </w:rPr>
        <w:footnoteRef/>
      </w:r>
      <w:r>
        <w:t xml:space="preserve"> </w:t>
      </w:r>
      <w:r w:rsidRPr="00081B48">
        <w:t xml:space="preserve">Mary </w:t>
      </w:r>
      <w:proofErr w:type="spellStart"/>
      <w:r w:rsidRPr="00081B48">
        <w:t>Midgley</w:t>
      </w:r>
      <w:proofErr w:type="spellEnd"/>
      <w:r w:rsidRPr="00081B48">
        <w:t xml:space="preserve">, </w:t>
      </w:r>
      <w:r w:rsidRPr="00081B48">
        <w:rPr>
          <w:i/>
        </w:rPr>
        <w:t>Animals and Why They Matter</w:t>
      </w:r>
      <w:r w:rsidRPr="00081B48">
        <w:t xml:space="preserve"> (Athens, GA: University of Georgia Press, 1983), 114</w:t>
      </w:r>
      <w:r>
        <w:t xml:space="preserve">. See also Neil </w:t>
      </w:r>
      <w:proofErr w:type="spellStart"/>
      <w:r>
        <w:t>Evernden</w:t>
      </w:r>
      <w:proofErr w:type="spellEnd"/>
      <w:r>
        <w:t xml:space="preserve">, </w:t>
      </w:r>
      <w:r w:rsidRPr="00081B48">
        <w:rPr>
          <w:i/>
        </w:rPr>
        <w:t>The Natural Alien: Humankind and Environment</w:t>
      </w:r>
      <w:r>
        <w:t>, 2</w:t>
      </w:r>
      <w:r w:rsidRPr="00081B48">
        <w:rPr>
          <w:vertAlign w:val="superscript"/>
        </w:rPr>
        <w:t>nd</w:t>
      </w:r>
      <w:r>
        <w:t xml:space="preserve"> ed. (Toronto: University of Toronto Press, 1993), 22-25. </w:t>
      </w:r>
    </w:p>
  </w:footnote>
  <w:footnote w:id="74">
    <w:p w:rsidR="00907FAB" w:rsidRDefault="00907FAB">
      <w:pPr>
        <w:pStyle w:val="FootnoteText"/>
      </w:pPr>
      <w:r>
        <w:rPr>
          <w:rStyle w:val="FootnoteReference"/>
        </w:rPr>
        <w:footnoteRef/>
      </w:r>
      <w:r>
        <w:t xml:space="preserve"> Myers, </w:t>
      </w:r>
      <w:r w:rsidRPr="00081B48">
        <w:rPr>
          <w:i/>
        </w:rPr>
        <w:t>The Significance of Children and Animals</w:t>
      </w:r>
      <w:r>
        <w:t xml:space="preserve">, 52, 61. </w:t>
      </w:r>
    </w:p>
  </w:footnote>
  <w:footnote w:id="75">
    <w:p w:rsidR="00907FAB" w:rsidRDefault="00907FAB">
      <w:pPr>
        <w:pStyle w:val="FootnoteText"/>
      </w:pPr>
      <w:r>
        <w:rPr>
          <w:rStyle w:val="FootnoteReference"/>
        </w:rPr>
        <w:footnoteRef/>
      </w:r>
      <w:r>
        <w:t xml:space="preserve"> Dillard-Wright, </w:t>
      </w:r>
      <w:r w:rsidRPr="00081B48">
        <w:rPr>
          <w:i/>
        </w:rPr>
        <w:t>Ark of the Possible</w:t>
      </w:r>
      <w:r>
        <w:t xml:space="preserve">, 47. </w:t>
      </w:r>
    </w:p>
  </w:footnote>
  <w:footnote w:id="76">
    <w:p w:rsidR="00907FAB" w:rsidRDefault="00907FAB">
      <w:pPr>
        <w:pStyle w:val="FootnoteText"/>
      </w:pPr>
      <w:r>
        <w:rPr>
          <w:rStyle w:val="FootnoteReference"/>
        </w:rPr>
        <w:footnoteRef/>
      </w:r>
      <w:r>
        <w:t xml:space="preserve"> Ibid., 47, 101. </w:t>
      </w:r>
    </w:p>
  </w:footnote>
  <w:footnote w:id="77">
    <w:p w:rsidR="00907FAB" w:rsidRDefault="00907FAB">
      <w:pPr>
        <w:pStyle w:val="FootnoteText"/>
      </w:pPr>
      <w:r>
        <w:rPr>
          <w:rStyle w:val="FootnoteReference"/>
        </w:rPr>
        <w:footnoteRef/>
      </w:r>
      <w:r>
        <w:t xml:space="preserve"> Myers, </w:t>
      </w:r>
      <w:r w:rsidRPr="00F33830">
        <w:rPr>
          <w:i/>
        </w:rPr>
        <w:t>The Significance of Children and Animals</w:t>
      </w:r>
      <w:r>
        <w:t xml:space="preserve">, 65-88. </w:t>
      </w:r>
    </w:p>
  </w:footnote>
  <w:footnote w:id="78">
    <w:p w:rsidR="00907FAB" w:rsidRDefault="00907FAB">
      <w:pPr>
        <w:pStyle w:val="FootnoteText"/>
      </w:pPr>
      <w:r>
        <w:rPr>
          <w:rStyle w:val="FootnoteReference"/>
        </w:rPr>
        <w:footnoteRef/>
      </w:r>
      <w:r>
        <w:t xml:space="preserve"> Anna L. Peterson, </w:t>
      </w:r>
      <w:r w:rsidRPr="00F33830">
        <w:rPr>
          <w:i/>
        </w:rPr>
        <w:t>Everyday Ethics and Social Change: The Education of Desire</w:t>
      </w:r>
      <w:r>
        <w:t xml:space="preserve"> (New York: Columbia University Press, 2009), 82-109. </w:t>
      </w:r>
    </w:p>
  </w:footnote>
  <w:footnote w:id="79">
    <w:p w:rsidR="00907FAB" w:rsidRDefault="00907FAB">
      <w:pPr>
        <w:pStyle w:val="FootnoteText"/>
      </w:pPr>
      <w:r>
        <w:rPr>
          <w:rStyle w:val="FootnoteReference"/>
        </w:rPr>
        <w:footnoteRef/>
      </w:r>
      <w:r>
        <w:t xml:space="preserve"> Myers, </w:t>
      </w:r>
      <w:r w:rsidRPr="00F33830">
        <w:rPr>
          <w:i/>
        </w:rPr>
        <w:t>The Significance of Children and Animals</w:t>
      </w:r>
      <w:r>
        <w:t xml:space="preserve">, 52. Myers cites </w:t>
      </w:r>
      <w:proofErr w:type="spellStart"/>
      <w:r>
        <w:t>Mihaly</w:t>
      </w:r>
      <w:proofErr w:type="spellEnd"/>
      <w:r>
        <w:t xml:space="preserve"> </w:t>
      </w:r>
      <w:proofErr w:type="spellStart"/>
      <w:r>
        <w:t>Csikszentmihalyi</w:t>
      </w:r>
      <w:proofErr w:type="spellEnd"/>
      <w:r w:rsidRPr="00026505">
        <w:rPr>
          <w:i/>
        </w:rPr>
        <w:t>, Flow: The Psychology of Optimal Experience</w:t>
      </w:r>
      <w:r>
        <w:t xml:space="preserve"> (New York: Harper and Row, 1990) as originating the notion of a relational “</w:t>
      </w:r>
      <w:proofErr w:type="spellStart"/>
      <w:r>
        <w:t>complexification</w:t>
      </w:r>
      <w:proofErr w:type="spellEnd"/>
      <w:r>
        <w:t xml:space="preserve">.” </w:t>
      </w:r>
    </w:p>
  </w:footnote>
  <w:footnote w:id="80">
    <w:p w:rsidR="00907FAB" w:rsidRDefault="00907FAB">
      <w:pPr>
        <w:pStyle w:val="FootnoteText"/>
      </w:pPr>
      <w:r>
        <w:rPr>
          <w:rStyle w:val="FootnoteReference"/>
        </w:rPr>
        <w:footnoteRef/>
      </w:r>
      <w:r>
        <w:t xml:space="preserve"> Alejandro R. </w:t>
      </w:r>
      <w:proofErr w:type="spellStart"/>
      <w:r>
        <w:t>García</w:t>
      </w:r>
      <w:proofErr w:type="spellEnd"/>
      <w:r>
        <w:t xml:space="preserve">-Rivera, </w:t>
      </w:r>
      <w:r w:rsidRPr="00E30A13">
        <w:rPr>
          <w:i/>
        </w:rPr>
        <w:t>A Wounded Innocence: Sketches for a Theology of Art</w:t>
      </w:r>
      <w:r>
        <w:t xml:space="preserve"> (Collegeville, MN: The Liturgical Press, 2003), 91. </w:t>
      </w:r>
    </w:p>
  </w:footnote>
  <w:footnote w:id="81">
    <w:p w:rsidR="00907FAB" w:rsidRDefault="00907FAB">
      <w:pPr>
        <w:pStyle w:val="FootnoteText"/>
      </w:pPr>
      <w:r>
        <w:rPr>
          <w:rStyle w:val="FootnoteReference"/>
        </w:rPr>
        <w:footnoteRef/>
      </w:r>
      <w:r>
        <w:t xml:space="preserve"> Mark Doty, </w:t>
      </w:r>
      <w:r w:rsidRPr="00F60D8E">
        <w:rPr>
          <w:i/>
        </w:rPr>
        <w:t>Dog Years: A Memoir</w:t>
      </w:r>
      <w:r>
        <w:t xml:space="preserve"> (New York: HarperCollins, 2007).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FAB" w:rsidRDefault="00907FAB" w:rsidP="002413B5">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343C2E"/>
    <w:multiLevelType w:val="hybridMultilevel"/>
    <w:tmpl w:val="C53C33C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isplayBackgroundShape/>
  <w:proofState w:spelling="clean"/>
  <w:defaultTabStop w:val="720"/>
  <w:characterSpacingControl w:val="doNotCompress"/>
  <w:footnotePr>
    <w:footnote w:id="-1"/>
    <w:footnote w:id="0"/>
  </w:footnotePr>
  <w:endnotePr>
    <w:endnote w:id="-1"/>
    <w:endnote w:id="0"/>
  </w:endnotePr>
  <w:compat/>
  <w:rsids>
    <w:rsidRoot w:val="00F4006C"/>
    <w:rsid w:val="00026505"/>
    <w:rsid w:val="00081B48"/>
    <w:rsid w:val="000D3087"/>
    <w:rsid w:val="000E68F1"/>
    <w:rsid w:val="001602CF"/>
    <w:rsid w:val="00196581"/>
    <w:rsid w:val="001A1FAD"/>
    <w:rsid w:val="001E3AA9"/>
    <w:rsid w:val="002413B5"/>
    <w:rsid w:val="0024344F"/>
    <w:rsid w:val="00255085"/>
    <w:rsid w:val="002742B9"/>
    <w:rsid w:val="002F11FD"/>
    <w:rsid w:val="002F17DE"/>
    <w:rsid w:val="003102C0"/>
    <w:rsid w:val="003B64D9"/>
    <w:rsid w:val="003E654B"/>
    <w:rsid w:val="00461339"/>
    <w:rsid w:val="005A3AD2"/>
    <w:rsid w:val="005C640C"/>
    <w:rsid w:val="005F3328"/>
    <w:rsid w:val="00662754"/>
    <w:rsid w:val="006B4067"/>
    <w:rsid w:val="006B5E7B"/>
    <w:rsid w:val="006E3813"/>
    <w:rsid w:val="0072418B"/>
    <w:rsid w:val="00725FC6"/>
    <w:rsid w:val="007348C9"/>
    <w:rsid w:val="00752292"/>
    <w:rsid w:val="00763A02"/>
    <w:rsid w:val="0076603A"/>
    <w:rsid w:val="007D2B70"/>
    <w:rsid w:val="007D700A"/>
    <w:rsid w:val="00831294"/>
    <w:rsid w:val="00840892"/>
    <w:rsid w:val="00854DFC"/>
    <w:rsid w:val="008A2108"/>
    <w:rsid w:val="00907FAB"/>
    <w:rsid w:val="00925639"/>
    <w:rsid w:val="0093220B"/>
    <w:rsid w:val="00956D07"/>
    <w:rsid w:val="009D4407"/>
    <w:rsid w:val="009E5315"/>
    <w:rsid w:val="009F0B09"/>
    <w:rsid w:val="00AC14D1"/>
    <w:rsid w:val="00AD2218"/>
    <w:rsid w:val="00AE0A88"/>
    <w:rsid w:val="00AE6E92"/>
    <w:rsid w:val="00B5706E"/>
    <w:rsid w:val="00B7461D"/>
    <w:rsid w:val="00C42BFA"/>
    <w:rsid w:val="00C8164E"/>
    <w:rsid w:val="00C95996"/>
    <w:rsid w:val="00D80283"/>
    <w:rsid w:val="00D90DD4"/>
    <w:rsid w:val="00DD5C89"/>
    <w:rsid w:val="00DE7189"/>
    <w:rsid w:val="00E30A13"/>
    <w:rsid w:val="00E343EC"/>
    <w:rsid w:val="00E666CD"/>
    <w:rsid w:val="00E777B7"/>
    <w:rsid w:val="00F33830"/>
    <w:rsid w:val="00F4006C"/>
    <w:rsid w:val="00F60D8E"/>
    <w:rsid w:val="00FE64CC"/>
    <w:rsid w:val="00FF08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7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F17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17DE"/>
    <w:rPr>
      <w:sz w:val="20"/>
      <w:szCs w:val="20"/>
    </w:rPr>
  </w:style>
  <w:style w:type="character" w:styleId="FootnoteReference">
    <w:name w:val="footnote reference"/>
    <w:basedOn w:val="DefaultParagraphFont"/>
    <w:uiPriority w:val="99"/>
    <w:semiHidden/>
    <w:unhideWhenUsed/>
    <w:rsid w:val="002F17DE"/>
    <w:rPr>
      <w:vertAlign w:val="superscript"/>
    </w:rPr>
  </w:style>
  <w:style w:type="paragraph" w:styleId="Header">
    <w:name w:val="header"/>
    <w:basedOn w:val="Normal"/>
    <w:link w:val="HeaderChar"/>
    <w:uiPriority w:val="99"/>
    <w:unhideWhenUsed/>
    <w:rsid w:val="000E68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68F1"/>
  </w:style>
  <w:style w:type="paragraph" w:styleId="Footer">
    <w:name w:val="footer"/>
    <w:basedOn w:val="Normal"/>
    <w:link w:val="FooterChar"/>
    <w:uiPriority w:val="99"/>
    <w:unhideWhenUsed/>
    <w:rsid w:val="000E68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68F1"/>
  </w:style>
  <w:style w:type="paragraph" w:styleId="ListParagraph">
    <w:name w:val="List Paragraph"/>
    <w:basedOn w:val="Normal"/>
    <w:uiPriority w:val="34"/>
    <w:qFormat/>
    <w:rsid w:val="000E68F1"/>
    <w:pPr>
      <w:ind w:left="720"/>
      <w:contextualSpacing/>
    </w:pPr>
  </w:style>
  <w:style w:type="character" w:styleId="Hyperlink">
    <w:name w:val="Hyperlink"/>
    <w:basedOn w:val="DefaultParagraphFont"/>
    <w:uiPriority w:val="99"/>
    <w:unhideWhenUsed/>
    <w:rsid w:val="0072418B"/>
    <w:rPr>
      <w:color w:val="0563C1" w:themeColor="hyperlink"/>
      <w:u w:val="single"/>
    </w:rPr>
  </w:style>
  <w:style w:type="character" w:styleId="FollowedHyperlink">
    <w:name w:val="FollowedHyperlink"/>
    <w:basedOn w:val="DefaultParagraphFont"/>
    <w:uiPriority w:val="99"/>
    <w:semiHidden/>
    <w:unhideWhenUsed/>
    <w:rsid w:val="009E5315"/>
    <w:rPr>
      <w:color w:val="954F72" w:themeColor="followedHyperlink"/>
      <w:u w:val="single"/>
    </w:rPr>
  </w:style>
  <w:style w:type="paragraph" w:styleId="NoSpacing">
    <w:name w:val="No Spacing"/>
    <w:link w:val="NoSpacingChar"/>
    <w:uiPriority w:val="1"/>
    <w:qFormat/>
    <w:rsid w:val="002413B5"/>
    <w:pPr>
      <w:spacing w:after="0" w:line="240" w:lineRule="auto"/>
    </w:pPr>
    <w:rPr>
      <w:rFonts w:eastAsiaTheme="minorEastAsia"/>
    </w:rPr>
  </w:style>
  <w:style w:type="character" w:customStyle="1" w:styleId="NoSpacingChar">
    <w:name w:val="No Spacing Char"/>
    <w:basedOn w:val="DefaultParagraphFont"/>
    <w:link w:val="NoSpacing"/>
    <w:uiPriority w:val="1"/>
    <w:rsid w:val="002413B5"/>
    <w:rPr>
      <w:rFonts w:eastAsiaTheme="minorEastAsia"/>
    </w:rPr>
  </w:style>
  <w:style w:type="paragraph" w:styleId="BalloonText">
    <w:name w:val="Balloon Text"/>
    <w:basedOn w:val="Normal"/>
    <w:link w:val="BalloonTextChar"/>
    <w:uiPriority w:val="99"/>
    <w:semiHidden/>
    <w:unhideWhenUsed/>
    <w:rsid w:val="009F0B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0B0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2.vatican.va/content/benedict-xvi/en/encyclicals/documents/hf_ben-xvi_enc_20090629_caritas-in-veritate.html" TargetMode="External"/><Relationship Id="rId2" Type="http://schemas.openxmlformats.org/officeDocument/2006/relationships/hyperlink" Target="http://www.vatican.va/roman_curia/pontifical_councils/justpeace/documents/rc_pc_justpeace_doc_20060526_compendio-dott-soc_en.html" TargetMode="External"/><Relationship Id="rId1" Type="http://schemas.openxmlformats.org/officeDocument/2006/relationships/hyperlink" Target="http://w2.vatican.va/content/francesco/en/events/event.dir.html/content/vaticanevents/en/2015/6/18/laudatosi.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055C73-8A00-431C-A362-4DFF50F8C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4354</Words>
  <Characters>24822</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Ashley</dc:creator>
  <cp:lastModifiedBy>Ted</cp:lastModifiedBy>
  <cp:revision>2</cp:revision>
  <cp:lastPrinted>2016-02-02T01:28:00Z</cp:lastPrinted>
  <dcterms:created xsi:type="dcterms:W3CDTF">2016-02-02T15:28:00Z</dcterms:created>
  <dcterms:modified xsi:type="dcterms:W3CDTF">2016-02-02T15:28:00Z</dcterms:modified>
</cp:coreProperties>
</file>